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3D0A23" w14:textId="06E94189" w:rsidR="00D818A2" w:rsidRPr="00C26BA9" w:rsidRDefault="00D818A2" w:rsidP="00D818A2">
      <w:pPr>
        <w:suppressAutoHyphens/>
        <w:spacing w:line="240" w:lineRule="atLeast"/>
        <w:jc w:val="center"/>
        <w:rPr>
          <w:b/>
          <w:bCs/>
          <w:szCs w:val="24"/>
        </w:rPr>
      </w:pPr>
      <w:r w:rsidRPr="00C26BA9">
        <w:rPr>
          <w:b/>
          <w:bCs/>
          <w:szCs w:val="24"/>
        </w:rPr>
        <w:t>UNITED STATES DISTRICT COURT</w:t>
      </w:r>
    </w:p>
    <w:p w14:paraId="26BAA5E0" w14:textId="77777777" w:rsidR="00D818A2" w:rsidRPr="00C26BA9" w:rsidRDefault="00D818A2" w:rsidP="00D818A2">
      <w:pPr>
        <w:suppressAutoHyphens/>
        <w:spacing w:after="240" w:line="240" w:lineRule="atLeast"/>
        <w:jc w:val="center"/>
        <w:rPr>
          <w:b/>
          <w:bCs/>
          <w:szCs w:val="24"/>
        </w:rPr>
      </w:pPr>
      <w:r w:rsidRPr="00C26BA9">
        <w:rPr>
          <w:b/>
          <w:bCs/>
          <w:szCs w:val="24"/>
        </w:rPr>
        <w:t>WESTERN DISTRICT OF PENNSYLVANIA</w:t>
      </w:r>
    </w:p>
    <w:tbl>
      <w:tblPr>
        <w:tblStyle w:val="TableGrid"/>
        <w:tblW w:w="9452" w:type="dxa"/>
        <w:tblBorders>
          <w:top w:val="none" w:sz="0" w:space="0" w:color="auto"/>
          <w:left w:val="none" w:sz="0" w:space="0" w:color="auto"/>
          <w:bottom w:val="none" w:sz="0" w:space="0" w:color="auto"/>
          <w:right w:val="none" w:sz="0" w:space="0" w:color="auto"/>
          <w:insideV w:val="dotDash" w:sz="4" w:space="0" w:color="auto"/>
        </w:tblBorders>
        <w:tblLook w:val="04A0" w:firstRow="1" w:lastRow="0" w:firstColumn="1" w:lastColumn="0" w:noHBand="0" w:noVBand="1"/>
      </w:tblPr>
      <w:tblGrid>
        <w:gridCol w:w="5040"/>
        <w:gridCol w:w="4412"/>
      </w:tblGrid>
      <w:tr w:rsidR="00D818A2" w14:paraId="4E8DD9B1" w14:textId="77777777" w:rsidTr="00F37E2D">
        <w:tc>
          <w:tcPr>
            <w:tcW w:w="5040" w:type="dxa"/>
            <w:tcBorders>
              <w:top w:val="single" w:sz="4" w:space="0" w:color="auto"/>
              <w:left w:val="nil"/>
              <w:bottom w:val="single" w:sz="4" w:space="0" w:color="auto"/>
              <w:right w:val="single" w:sz="4" w:space="0" w:color="auto"/>
            </w:tcBorders>
          </w:tcPr>
          <w:p w14:paraId="044E1A58" w14:textId="2BB6CF87" w:rsidR="00D818A2" w:rsidRDefault="00D818A2" w:rsidP="009C7A6B">
            <w:pPr>
              <w:suppressAutoHyphens/>
              <w:spacing w:before="240" w:line="240" w:lineRule="atLeast"/>
              <w:ind w:right="-20"/>
              <w:rPr>
                <w:szCs w:val="24"/>
              </w:rPr>
            </w:pPr>
            <w:r>
              <w:rPr>
                <w:szCs w:val="24"/>
              </w:rPr>
              <w:t>BLAIR DOUGLASS,</w:t>
            </w:r>
            <w:r w:rsidR="003F7F47">
              <w:rPr>
                <w:szCs w:val="24"/>
              </w:rPr>
              <w:t xml:space="preserve"> on behalf of himself and all similarly situated individuals,</w:t>
            </w:r>
          </w:p>
          <w:p w14:paraId="2C33B28B" w14:textId="77777777" w:rsidR="00D818A2" w:rsidRDefault="00D818A2" w:rsidP="00F37E2D">
            <w:pPr>
              <w:suppressAutoHyphens/>
              <w:spacing w:line="240" w:lineRule="atLeast"/>
              <w:rPr>
                <w:szCs w:val="24"/>
              </w:rPr>
            </w:pPr>
          </w:p>
          <w:p w14:paraId="56555869" w14:textId="77777777" w:rsidR="00D818A2" w:rsidRDefault="00D818A2" w:rsidP="00F37E2D">
            <w:pPr>
              <w:suppressAutoHyphens/>
              <w:spacing w:line="240" w:lineRule="atLeast"/>
              <w:rPr>
                <w:szCs w:val="24"/>
              </w:rPr>
            </w:pPr>
            <w:r>
              <w:rPr>
                <w:szCs w:val="24"/>
              </w:rPr>
              <w:tab/>
            </w:r>
            <w:r>
              <w:rPr>
                <w:szCs w:val="24"/>
              </w:rPr>
              <w:tab/>
            </w:r>
            <w:r>
              <w:rPr>
                <w:szCs w:val="24"/>
              </w:rPr>
              <w:tab/>
              <w:t>Plaintiff,</w:t>
            </w:r>
          </w:p>
          <w:p w14:paraId="232D8CC9" w14:textId="77777777" w:rsidR="00D818A2" w:rsidRDefault="00D818A2" w:rsidP="00F37E2D">
            <w:pPr>
              <w:suppressAutoHyphens/>
              <w:spacing w:line="240" w:lineRule="atLeast"/>
              <w:rPr>
                <w:szCs w:val="24"/>
              </w:rPr>
            </w:pPr>
          </w:p>
          <w:p w14:paraId="257ED04A" w14:textId="77777777" w:rsidR="00D818A2" w:rsidRDefault="00D818A2" w:rsidP="00F37E2D">
            <w:pPr>
              <w:suppressAutoHyphens/>
              <w:spacing w:line="240" w:lineRule="atLeast"/>
              <w:rPr>
                <w:szCs w:val="24"/>
              </w:rPr>
            </w:pPr>
            <w:r>
              <w:rPr>
                <w:szCs w:val="24"/>
              </w:rPr>
              <w:tab/>
              <w:t>v.</w:t>
            </w:r>
          </w:p>
          <w:p w14:paraId="0FF6A5E0" w14:textId="77777777" w:rsidR="005C1569" w:rsidRDefault="005C1569" w:rsidP="009C7A6B">
            <w:pPr>
              <w:suppressAutoHyphens/>
              <w:spacing w:line="240" w:lineRule="atLeast"/>
              <w:rPr>
                <w:szCs w:val="24"/>
              </w:rPr>
            </w:pPr>
          </w:p>
          <w:p w14:paraId="43555332" w14:textId="2B24D6FD" w:rsidR="00D818A2" w:rsidRDefault="00FC6B13" w:rsidP="009C7A6B">
            <w:pPr>
              <w:tabs>
                <w:tab w:val="left" w:pos="3782"/>
              </w:tabs>
              <w:suppressAutoHyphens/>
              <w:spacing w:line="240" w:lineRule="atLeast"/>
              <w:rPr>
                <w:szCs w:val="24"/>
              </w:rPr>
            </w:pPr>
            <w:r>
              <w:rPr>
                <w:szCs w:val="24"/>
              </w:rPr>
              <w:t>MONDELĒZ GLOBAL LLC</w:t>
            </w:r>
            <w:r w:rsidR="00D818A2">
              <w:rPr>
                <w:szCs w:val="24"/>
              </w:rPr>
              <w:t>,</w:t>
            </w:r>
            <w:r w:rsidR="00D818A2">
              <w:rPr>
                <w:szCs w:val="24"/>
              </w:rPr>
              <w:tab/>
            </w:r>
          </w:p>
          <w:p w14:paraId="20182788" w14:textId="77777777" w:rsidR="00D818A2" w:rsidRDefault="00D818A2" w:rsidP="00F37E2D">
            <w:pPr>
              <w:suppressAutoHyphens/>
              <w:spacing w:line="240" w:lineRule="atLeast"/>
              <w:rPr>
                <w:szCs w:val="24"/>
              </w:rPr>
            </w:pPr>
          </w:p>
          <w:p w14:paraId="59B148CC" w14:textId="77777777" w:rsidR="00D818A2" w:rsidRDefault="00D818A2" w:rsidP="00F37E2D">
            <w:pPr>
              <w:suppressAutoHyphens/>
              <w:spacing w:after="240" w:line="240" w:lineRule="atLeast"/>
              <w:rPr>
                <w:szCs w:val="24"/>
              </w:rPr>
            </w:pPr>
            <w:r>
              <w:rPr>
                <w:szCs w:val="24"/>
              </w:rPr>
              <w:tab/>
            </w:r>
            <w:r>
              <w:rPr>
                <w:szCs w:val="24"/>
              </w:rPr>
              <w:tab/>
            </w:r>
            <w:r>
              <w:rPr>
                <w:szCs w:val="24"/>
              </w:rPr>
              <w:tab/>
              <w:t>Defendant.</w:t>
            </w:r>
          </w:p>
        </w:tc>
        <w:tc>
          <w:tcPr>
            <w:tcW w:w="4412" w:type="dxa"/>
            <w:tcBorders>
              <w:top w:val="nil"/>
              <w:left w:val="single" w:sz="4" w:space="0" w:color="auto"/>
              <w:bottom w:val="nil"/>
              <w:right w:val="nil"/>
            </w:tcBorders>
          </w:tcPr>
          <w:p w14:paraId="0142A363" w14:textId="77777777" w:rsidR="00D818A2" w:rsidRDefault="00D818A2" w:rsidP="00F37E2D">
            <w:pPr>
              <w:suppressAutoHyphens/>
              <w:spacing w:line="240" w:lineRule="atLeast"/>
              <w:rPr>
                <w:szCs w:val="24"/>
              </w:rPr>
            </w:pPr>
          </w:p>
          <w:p w14:paraId="7482C84E" w14:textId="77777777" w:rsidR="00D818A2" w:rsidRDefault="00D818A2" w:rsidP="00F37E2D">
            <w:pPr>
              <w:suppressAutoHyphens/>
              <w:spacing w:line="240" w:lineRule="atLeast"/>
              <w:ind w:left="342"/>
              <w:rPr>
                <w:szCs w:val="24"/>
              </w:rPr>
            </w:pPr>
          </w:p>
          <w:p w14:paraId="584B5325" w14:textId="77777777" w:rsidR="00D818A2" w:rsidRDefault="00D818A2" w:rsidP="00F37E2D">
            <w:pPr>
              <w:suppressAutoHyphens/>
              <w:spacing w:line="240" w:lineRule="atLeast"/>
              <w:ind w:left="342"/>
              <w:rPr>
                <w:szCs w:val="24"/>
              </w:rPr>
            </w:pPr>
          </w:p>
          <w:p w14:paraId="5CC18CBB" w14:textId="77777777" w:rsidR="00D818A2" w:rsidRDefault="00D818A2" w:rsidP="00F37E2D">
            <w:pPr>
              <w:suppressAutoHyphens/>
              <w:spacing w:line="240" w:lineRule="atLeast"/>
              <w:ind w:left="342"/>
              <w:rPr>
                <w:szCs w:val="24"/>
              </w:rPr>
            </w:pPr>
            <w:r>
              <w:rPr>
                <w:szCs w:val="24"/>
              </w:rPr>
              <w:t xml:space="preserve">Civil Action No. </w:t>
            </w:r>
          </w:p>
          <w:p w14:paraId="0840B70E" w14:textId="77777777" w:rsidR="00D818A2" w:rsidRDefault="00D818A2" w:rsidP="00F37E2D">
            <w:pPr>
              <w:suppressAutoHyphens/>
              <w:spacing w:line="240" w:lineRule="atLeast"/>
              <w:ind w:left="342"/>
              <w:rPr>
                <w:szCs w:val="24"/>
              </w:rPr>
            </w:pPr>
          </w:p>
          <w:p w14:paraId="6EAF1A38" w14:textId="77777777" w:rsidR="00D818A2" w:rsidRDefault="00D818A2" w:rsidP="00F37E2D">
            <w:pPr>
              <w:suppressAutoHyphens/>
              <w:spacing w:line="240" w:lineRule="atLeast"/>
              <w:rPr>
                <w:b/>
                <w:szCs w:val="24"/>
                <w:u w:val="single"/>
              </w:rPr>
            </w:pPr>
            <w:r>
              <w:rPr>
                <w:b/>
                <w:szCs w:val="24"/>
              </w:rPr>
              <w:tab/>
            </w:r>
          </w:p>
        </w:tc>
      </w:tr>
    </w:tbl>
    <w:p w14:paraId="23FACD99" w14:textId="77777777" w:rsidR="000C64B8" w:rsidRDefault="000C64B8" w:rsidP="000C64B8">
      <w:pPr>
        <w:suppressAutoHyphens/>
        <w:spacing w:line="240" w:lineRule="atLeast"/>
        <w:rPr>
          <w:szCs w:val="24"/>
        </w:rPr>
      </w:pPr>
    </w:p>
    <w:p w14:paraId="67AE30C2" w14:textId="3A332F88" w:rsidR="000C64B8" w:rsidRPr="00726766" w:rsidRDefault="00C26BA9" w:rsidP="000C64B8">
      <w:pPr>
        <w:jc w:val="center"/>
        <w:rPr>
          <w:b/>
          <w:szCs w:val="24"/>
          <w:u w:val="single"/>
        </w:rPr>
      </w:pPr>
      <w:r>
        <w:rPr>
          <w:b/>
          <w:szCs w:val="24"/>
          <w:u w:val="single"/>
        </w:rPr>
        <w:t>NATIONWIDE CLASS ACTION COMPLAINT</w:t>
      </w:r>
    </w:p>
    <w:p w14:paraId="20917BF0" w14:textId="77777777" w:rsidR="000C64B8" w:rsidRDefault="000C64B8" w:rsidP="000C64B8">
      <w:pPr>
        <w:ind w:firstLine="720"/>
        <w:rPr>
          <w:szCs w:val="24"/>
        </w:rPr>
      </w:pPr>
    </w:p>
    <w:p w14:paraId="6DFD420A" w14:textId="3E42621A" w:rsidR="00D7348D" w:rsidRDefault="00D7348D" w:rsidP="00B013C3">
      <w:pPr>
        <w:spacing w:line="480" w:lineRule="auto"/>
        <w:ind w:firstLine="720"/>
        <w:jc w:val="both"/>
        <w:rPr>
          <w:szCs w:val="24"/>
        </w:rPr>
      </w:pPr>
      <w:r>
        <w:rPr>
          <w:szCs w:val="24"/>
        </w:rPr>
        <w:t xml:space="preserve">Plaintiff Blair Douglass (“Douglass” or “Plaintiff”), on behalf of himself and all others similarly situated, brings this action </w:t>
      </w:r>
      <w:r w:rsidRPr="000056A7">
        <w:rPr>
          <w:szCs w:val="24"/>
        </w:rPr>
        <w:t>against Defendant</w:t>
      </w:r>
      <w:r>
        <w:rPr>
          <w:szCs w:val="24"/>
        </w:rPr>
        <w:t xml:space="preserve"> </w:t>
      </w:r>
      <w:r w:rsidR="00437CF6">
        <w:rPr>
          <w:rFonts w:eastAsia="Calibri" w:cs="Times New Roman (Body CS)"/>
          <w:szCs w:val="24"/>
        </w:rPr>
        <w:t xml:space="preserve">Mondelēz </w:t>
      </w:r>
      <w:r w:rsidR="00437CF6">
        <w:rPr>
          <w:szCs w:val="24"/>
        </w:rPr>
        <w:t>Global</w:t>
      </w:r>
      <w:r w:rsidR="003F7F47">
        <w:rPr>
          <w:szCs w:val="24"/>
        </w:rPr>
        <w:t xml:space="preserve"> LLC</w:t>
      </w:r>
      <w:r>
        <w:rPr>
          <w:szCs w:val="24"/>
        </w:rPr>
        <w:t xml:space="preserve"> (“</w:t>
      </w:r>
      <w:r w:rsidR="00437CF6">
        <w:rPr>
          <w:rFonts w:eastAsia="Calibri" w:cs="Times New Roman (Body CS)"/>
          <w:szCs w:val="24"/>
        </w:rPr>
        <w:t>Mondelēz</w:t>
      </w:r>
      <w:r>
        <w:rPr>
          <w:szCs w:val="24"/>
        </w:rPr>
        <w:t>” or “Defendant”). Plaintiff makes the following allegations pursuant to the investigation of counsel and based upon information and belief, except as to the allegations specifically pertaining to Plaintiff, which are based on personal knowledge</w:t>
      </w:r>
      <w:r w:rsidR="003F7F47">
        <w:rPr>
          <w:szCs w:val="24"/>
        </w:rPr>
        <w:t>.</w:t>
      </w:r>
    </w:p>
    <w:p w14:paraId="33E8377B" w14:textId="77777777" w:rsidR="000C64B8" w:rsidRPr="00802481" w:rsidRDefault="000C64B8" w:rsidP="000C64B8">
      <w:pPr>
        <w:spacing w:line="480" w:lineRule="auto"/>
        <w:jc w:val="center"/>
        <w:rPr>
          <w:szCs w:val="24"/>
        </w:rPr>
      </w:pPr>
      <w:r>
        <w:rPr>
          <w:b/>
          <w:bCs/>
          <w:szCs w:val="24"/>
          <w:u w:val="single"/>
        </w:rPr>
        <w:t>NATURE AND SUMMARY OF THE ACTION</w:t>
      </w:r>
    </w:p>
    <w:p w14:paraId="6EA52626" w14:textId="4718AFE0" w:rsidR="000C64B8" w:rsidRPr="00E0080A" w:rsidRDefault="000C64B8" w:rsidP="00E36B0E">
      <w:pPr>
        <w:numPr>
          <w:ilvl w:val="0"/>
          <w:numId w:val="1"/>
        </w:numPr>
        <w:tabs>
          <w:tab w:val="num" w:pos="0"/>
        </w:tabs>
        <w:spacing w:line="480" w:lineRule="auto"/>
        <w:ind w:left="0" w:firstLine="720"/>
        <w:jc w:val="both"/>
        <w:rPr>
          <w:szCs w:val="24"/>
        </w:rPr>
      </w:pPr>
      <w:r w:rsidRPr="00E0080A">
        <w:rPr>
          <w:szCs w:val="24"/>
        </w:rPr>
        <w:t xml:space="preserve">This action arises from Defendant’s failure to </w:t>
      </w:r>
      <w:r w:rsidR="00D145C5">
        <w:rPr>
          <w:szCs w:val="24"/>
        </w:rPr>
        <w:t>make</w:t>
      </w:r>
      <w:r w:rsidR="00D145C5" w:rsidRPr="00E0080A">
        <w:rPr>
          <w:szCs w:val="24"/>
        </w:rPr>
        <w:t xml:space="preserve"> </w:t>
      </w:r>
      <w:r w:rsidRPr="00E0080A">
        <w:rPr>
          <w:szCs w:val="24"/>
        </w:rPr>
        <w:t xml:space="preserve">its </w:t>
      </w:r>
      <w:r w:rsidR="00694595">
        <w:rPr>
          <w:szCs w:val="24"/>
        </w:rPr>
        <w:t>digital properties</w:t>
      </w:r>
      <w:r w:rsidRPr="00E0080A">
        <w:rPr>
          <w:szCs w:val="24"/>
        </w:rPr>
        <w:t xml:space="preserve"> accessible to blind individuals,</w:t>
      </w:r>
      <w:r w:rsidR="00D145C5">
        <w:rPr>
          <w:rStyle w:val="FootnoteReference"/>
          <w:szCs w:val="24"/>
        </w:rPr>
        <w:footnoteReference w:id="2"/>
      </w:r>
      <w:r w:rsidRPr="00E0080A">
        <w:rPr>
          <w:szCs w:val="24"/>
        </w:rPr>
        <w:t xml:space="preserve"> which </w:t>
      </w:r>
      <w:r w:rsidR="00D145C5">
        <w:rPr>
          <w:szCs w:val="24"/>
        </w:rPr>
        <w:t xml:space="preserve">violates </w:t>
      </w:r>
      <w:r>
        <w:rPr>
          <w:szCs w:val="24"/>
        </w:rPr>
        <w:t xml:space="preserve">the effective communication and equal access requirements of </w:t>
      </w:r>
      <w:r w:rsidRPr="00E0080A">
        <w:rPr>
          <w:szCs w:val="24"/>
        </w:rPr>
        <w:t>Title III of the Americans with Disabilities Act (“ADA”), 42 U.S.C. §§ 12181-12189</w:t>
      </w:r>
      <w:r w:rsidRPr="00E0080A">
        <w:rPr>
          <w:i/>
          <w:szCs w:val="24"/>
        </w:rPr>
        <w:t>.</w:t>
      </w:r>
      <w:r w:rsidR="00D145C5">
        <w:rPr>
          <w:i/>
          <w:szCs w:val="24"/>
        </w:rPr>
        <w:t xml:space="preserve"> </w:t>
      </w:r>
      <w:r w:rsidR="00D145C5">
        <w:rPr>
          <w:iCs/>
          <w:szCs w:val="24"/>
        </w:rPr>
        <w:t xml:space="preserve">These provisions were enacted </w:t>
      </w:r>
      <w:r w:rsidR="008F02AB" w:rsidRPr="008F02AB">
        <w:rPr>
          <w:iCs/>
          <w:szCs w:val="24"/>
        </w:rPr>
        <w:t xml:space="preserve">“to provide a clear and comprehensive national mandate for the </w:t>
      </w:r>
      <w:r w:rsidR="008F02AB" w:rsidRPr="008F02AB">
        <w:rPr>
          <w:iCs/>
          <w:szCs w:val="24"/>
        </w:rPr>
        <w:lastRenderedPageBreak/>
        <w:t>elimination of discrimination against individuals with disabilities”</w:t>
      </w:r>
      <w:r w:rsidR="008F02AB">
        <w:rPr>
          <w:rStyle w:val="FootnoteReference"/>
          <w:iCs/>
          <w:szCs w:val="24"/>
        </w:rPr>
        <w:footnoteReference w:id="3"/>
      </w:r>
      <w:r w:rsidR="008F02AB" w:rsidRPr="008F02AB">
        <w:rPr>
          <w:iCs/>
          <w:szCs w:val="24"/>
        </w:rPr>
        <w:t xml:space="preserve"> by “</w:t>
      </w:r>
      <w:proofErr w:type="spellStart"/>
      <w:r w:rsidR="008F02AB" w:rsidRPr="008F02AB">
        <w:rPr>
          <w:iCs/>
          <w:szCs w:val="24"/>
        </w:rPr>
        <w:t>assur</w:t>
      </w:r>
      <w:proofErr w:type="spellEnd"/>
      <w:r w:rsidR="008F02AB" w:rsidRPr="008F02AB">
        <w:rPr>
          <w:iCs/>
          <w:szCs w:val="24"/>
        </w:rPr>
        <w:t>[</w:t>
      </w:r>
      <w:proofErr w:type="spellStart"/>
      <w:r w:rsidR="008F02AB" w:rsidRPr="008F02AB">
        <w:rPr>
          <w:iCs/>
          <w:szCs w:val="24"/>
        </w:rPr>
        <w:t>ing</w:t>
      </w:r>
      <w:proofErr w:type="spellEnd"/>
      <w:r w:rsidR="008F02AB" w:rsidRPr="008F02AB">
        <w:rPr>
          <w:iCs/>
          <w:szCs w:val="24"/>
        </w:rPr>
        <w:t>] equality of opportunity, full participation, independent living, and economic self-sufficiency.”</w:t>
      </w:r>
      <w:r w:rsidR="008F02AB">
        <w:rPr>
          <w:rStyle w:val="FootnoteReference"/>
          <w:iCs/>
          <w:szCs w:val="24"/>
        </w:rPr>
        <w:footnoteReference w:id="4"/>
      </w:r>
    </w:p>
    <w:p w14:paraId="50B5700C" w14:textId="7E238552" w:rsidR="000C64B8" w:rsidRPr="006B0B35" w:rsidRDefault="00C26BA9" w:rsidP="00E36B0E">
      <w:pPr>
        <w:numPr>
          <w:ilvl w:val="0"/>
          <w:numId w:val="1"/>
        </w:numPr>
        <w:tabs>
          <w:tab w:val="num" w:pos="0"/>
        </w:tabs>
        <w:spacing w:line="480" w:lineRule="auto"/>
        <w:ind w:left="0" w:firstLine="720"/>
        <w:jc w:val="both"/>
        <w:rPr>
          <w:szCs w:val="24"/>
        </w:rPr>
      </w:pPr>
      <w:r>
        <w:rPr>
          <w:iCs/>
          <w:szCs w:val="24"/>
        </w:rPr>
        <w:t>T</w:t>
      </w:r>
      <w:r w:rsidR="000C64B8">
        <w:rPr>
          <w:iCs/>
          <w:szCs w:val="24"/>
        </w:rPr>
        <w:t xml:space="preserve">he injunctive relief that </w:t>
      </w:r>
      <w:r w:rsidR="00D818A2">
        <w:rPr>
          <w:iCs/>
          <w:szCs w:val="24"/>
        </w:rPr>
        <w:t>Douglass</w:t>
      </w:r>
      <w:r w:rsidR="000C64B8">
        <w:rPr>
          <w:iCs/>
          <w:szCs w:val="24"/>
        </w:rPr>
        <w:t xml:space="preserve"> seeks will inure to the benefit of an estimated 2.3 percent of the United States population who report</w:t>
      </w:r>
      <w:r w:rsidR="005C4957">
        <w:rPr>
          <w:iCs/>
          <w:szCs w:val="24"/>
        </w:rPr>
        <w:t>s</w:t>
      </w:r>
      <w:r w:rsidR="000C64B8">
        <w:rPr>
          <w:iCs/>
          <w:szCs w:val="24"/>
        </w:rPr>
        <w:t xml:space="preserve"> having a visual disability</w:t>
      </w:r>
      <w:r w:rsidR="00A5449F">
        <w:rPr>
          <w:iCs/>
          <w:szCs w:val="24"/>
        </w:rPr>
        <w:t>,</w:t>
      </w:r>
      <w:r w:rsidR="000C64B8">
        <w:rPr>
          <w:rStyle w:val="FootnoteReference"/>
          <w:iCs/>
          <w:szCs w:val="24"/>
        </w:rPr>
        <w:footnoteReference w:id="5"/>
      </w:r>
      <w:r w:rsidR="00A5449F">
        <w:rPr>
          <w:iCs/>
          <w:szCs w:val="24"/>
        </w:rPr>
        <w:t xml:space="preserve"> </w:t>
      </w:r>
      <w:bookmarkStart w:id="0" w:name="_Hlk39129430"/>
      <w:r w:rsidR="00A5449F">
        <w:rPr>
          <w:iCs/>
          <w:szCs w:val="24"/>
        </w:rPr>
        <w:t>and to Defendant, who will extend its market reach to this population.</w:t>
      </w:r>
      <w:r w:rsidR="00A5449F">
        <w:rPr>
          <w:rStyle w:val="FootnoteReference"/>
          <w:iCs/>
          <w:szCs w:val="24"/>
        </w:rPr>
        <w:footnoteReference w:id="6"/>
      </w:r>
      <w:bookmarkEnd w:id="0"/>
    </w:p>
    <w:p w14:paraId="1475A317" w14:textId="77777777" w:rsidR="00C26BA9" w:rsidRDefault="00C26BA9" w:rsidP="00E36B0E">
      <w:pPr>
        <w:numPr>
          <w:ilvl w:val="0"/>
          <w:numId w:val="1"/>
        </w:numPr>
        <w:tabs>
          <w:tab w:val="num" w:pos="0"/>
        </w:tabs>
        <w:spacing w:line="480" w:lineRule="auto"/>
        <w:ind w:left="0" w:firstLine="720"/>
        <w:jc w:val="both"/>
        <w:rPr>
          <w:szCs w:val="24"/>
        </w:rPr>
      </w:pPr>
      <w:r w:rsidRPr="008E4258">
        <w:rPr>
          <w:szCs w:val="24"/>
        </w:rPr>
        <w:t>For this</w:t>
      </w:r>
      <w:r w:rsidRPr="00B3008D">
        <w:rPr>
          <w:szCs w:val="24"/>
        </w:rPr>
        <w:t xml:space="preserve"> </w:t>
      </w:r>
      <w:r w:rsidRPr="008E4258">
        <w:rPr>
          <w:szCs w:val="24"/>
        </w:rPr>
        <w:t>significant portion of Americans, accessing websites</w:t>
      </w:r>
      <w:r>
        <w:rPr>
          <w:szCs w:val="24"/>
        </w:rPr>
        <w:t>, mobile applications,</w:t>
      </w:r>
      <w:r w:rsidRPr="008E4258">
        <w:rPr>
          <w:szCs w:val="24"/>
        </w:rPr>
        <w:t xml:space="preserve"> and </w:t>
      </w:r>
      <w:r>
        <w:rPr>
          <w:szCs w:val="24"/>
        </w:rPr>
        <w:t xml:space="preserve">other </w:t>
      </w:r>
      <w:r w:rsidRPr="008E4258">
        <w:rPr>
          <w:szCs w:val="24"/>
        </w:rPr>
        <w:t xml:space="preserve">information has become a necessity, not a convenience. </w:t>
      </w:r>
    </w:p>
    <w:p w14:paraId="7FFE7481" w14:textId="77777777" w:rsidR="00C26BA9" w:rsidRDefault="00C26BA9" w:rsidP="00E36B0E">
      <w:pPr>
        <w:numPr>
          <w:ilvl w:val="0"/>
          <w:numId w:val="1"/>
        </w:numPr>
        <w:tabs>
          <w:tab w:val="num" w:pos="0"/>
        </w:tabs>
        <w:spacing w:line="480" w:lineRule="auto"/>
        <w:ind w:left="0" w:firstLine="720"/>
        <w:jc w:val="both"/>
        <w:rPr>
          <w:szCs w:val="24"/>
        </w:rPr>
      </w:pPr>
      <w:r w:rsidRPr="00C7698A">
        <w:rPr>
          <w:szCs w:val="24"/>
        </w:rPr>
        <w:t xml:space="preserve">The growth of usage is rivaled only by the myriad ways in which users can harness the capabilities of the </w:t>
      </w:r>
      <w:r>
        <w:rPr>
          <w:szCs w:val="24"/>
        </w:rPr>
        <w:t>i</w:t>
      </w:r>
      <w:r w:rsidRPr="00C7698A">
        <w:rPr>
          <w:szCs w:val="24"/>
        </w:rPr>
        <w:t>nternet for the betterment of their lives through education, employment, entertainment</w:t>
      </w:r>
      <w:r>
        <w:rPr>
          <w:szCs w:val="24"/>
        </w:rPr>
        <w:t xml:space="preserve">, </w:t>
      </w:r>
      <w:r w:rsidRPr="00C7698A">
        <w:rPr>
          <w:szCs w:val="24"/>
        </w:rPr>
        <w:t>commerce, and countless other pursuits</w:t>
      </w:r>
      <w:r>
        <w:rPr>
          <w:szCs w:val="24"/>
        </w:rPr>
        <w:t xml:space="preserve">. </w:t>
      </w:r>
    </w:p>
    <w:p w14:paraId="32EFD278" w14:textId="5FC8802F" w:rsidR="000C64B8" w:rsidRDefault="00C26BA9" w:rsidP="00E36B0E">
      <w:pPr>
        <w:numPr>
          <w:ilvl w:val="0"/>
          <w:numId w:val="1"/>
        </w:numPr>
        <w:tabs>
          <w:tab w:val="num" w:pos="0"/>
        </w:tabs>
        <w:spacing w:line="480" w:lineRule="auto"/>
        <w:ind w:left="0" w:firstLine="720"/>
        <w:jc w:val="both"/>
        <w:rPr>
          <w:szCs w:val="24"/>
        </w:rPr>
      </w:pPr>
      <w:r>
        <w:rPr>
          <w:szCs w:val="24"/>
        </w:rPr>
        <w:t>The U.S. Chamber of Commerce has documented consumers’ increasing reliance on the internet to shop online</w:t>
      </w:r>
      <w:r w:rsidR="008E4258">
        <w:rPr>
          <w:szCs w:val="24"/>
        </w:rPr>
        <w:t>:</w:t>
      </w:r>
    </w:p>
    <w:p w14:paraId="356A171E" w14:textId="61F4B5D0" w:rsidR="000C64B8" w:rsidRDefault="000C64B8" w:rsidP="00E36B0E">
      <w:pPr>
        <w:spacing w:after="240" w:line="276" w:lineRule="auto"/>
        <w:ind w:left="720" w:right="720"/>
        <w:jc w:val="both"/>
        <w:rPr>
          <w:szCs w:val="24"/>
        </w:rPr>
      </w:pPr>
      <w:r w:rsidRPr="008E0732">
        <w:rPr>
          <w:szCs w:val="24"/>
        </w:rPr>
        <w:t>The average consumer spends more than $1,700 per year on online shopping, a number that’s continuing to rise.</w:t>
      </w:r>
      <w:r>
        <w:rPr>
          <w:szCs w:val="24"/>
        </w:rPr>
        <w:t xml:space="preserve"> T</w:t>
      </w:r>
      <w:r w:rsidRPr="008E0732">
        <w:rPr>
          <w:szCs w:val="24"/>
        </w:rPr>
        <w:t>he convenience, affordability and ability to compare prices with ease has led more and more customers to visit e-commerce sites before heading to a brick-and-mortar location.</w:t>
      </w:r>
      <w:r>
        <w:rPr>
          <w:rStyle w:val="FootnoteReference"/>
          <w:szCs w:val="24"/>
        </w:rPr>
        <w:footnoteReference w:id="7"/>
      </w:r>
    </w:p>
    <w:p w14:paraId="4205A55A" w14:textId="4392E808" w:rsidR="000C64B8" w:rsidRDefault="000C64B8" w:rsidP="00E36B0E">
      <w:pPr>
        <w:spacing w:after="240" w:line="276" w:lineRule="auto"/>
        <w:ind w:left="720" w:right="720"/>
        <w:jc w:val="both"/>
        <w:rPr>
          <w:szCs w:val="24"/>
        </w:rPr>
      </w:pPr>
      <w:r w:rsidRPr="008E0732">
        <w:rPr>
          <w:szCs w:val="24"/>
        </w:rPr>
        <w:t xml:space="preserve">New research by </w:t>
      </w:r>
      <w:proofErr w:type="spellStart"/>
      <w:r w:rsidRPr="008E0732">
        <w:rPr>
          <w:szCs w:val="24"/>
        </w:rPr>
        <w:t>Leanplum</w:t>
      </w:r>
      <w:proofErr w:type="spellEnd"/>
      <w:r w:rsidRPr="008E0732">
        <w:rPr>
          <w:szCs w:val="24"/>
        </w:rPr>
        <w:t xml:space="preserve"> found that 95% of consumers will buy at least half of their gifts online.</w:t>
      </w:r>
      <w:r>
        <w:rPr>
          <w:szCs w:val="24"/>
        </w:rPr>
        <w:t xml:space="preserve"> </w:t>
      </w:r>
      <w:r w:rsidRPr="008E0732">
        <w:rPr>
          <w:szCs w:val="24"/>
        </w:rPr>
        <w:t xml:space="preserve">Shoppers, especially millennials and Gen </w:t>
      </w:r>
      <w:proofErr w:type="spellStart"/>
      <w:r w:rsidRPr="008E0732">
        <w:rPr>
          <w:szCs w:val="24"/>
        </w:rPr>
        <w:t>Zers</w:t>
      </w:r>
      <w:proofErr w:type="spellEnd"/>
      <w:r w:rsidRPr="008E0732">
        <w:rPr>
          <w:szCs w:val="24"/>
        </w:rPr>
        <w:t xml:space="preserve">, favor the convenience and the great offers and discounts associated more with shopping </w:t>
      </w:r>
      <w:r w:rsidRPr="008E0732">
        <w:rPr>
          <w:szCs w:val="24"/>
        </w:rPr>
        <w:lastRenderedPageBreak/>
        <w:t xml:space="preserve">online than visiting a brick-and-mortar location. It’s these groups that are driving e-commerce retailers to be strategic with their website design. The </w:t>
      </w:r>
      <w:proofErr w:type="spellStart"/>
      <w:r w:rsidRPr="008E0732">
        <w:rPr>
          <w:szCs w:val="24"/>
        </w:rPr>
        <w:t>Leanplum</w:t>
      </w:r>
      <w:proofErr w:type="spellEnd"/>
      <w:r w:rsidRPr="008E0732">
        <w:rPr>
          <w:szCs w:val="24"/>
        </w:rPr>
        <w:t xml:space="preserve"> survey found that 80% of respondents shop on their mobile devices.</w:t>
      </w:r>
      <w:r>
        <w:rPr>
          <w:rStyle w:val="FootnoteReference"/>
          <w:szCs w:val="24"/>
        </w:rPr>
        <w:footnoteReference w:id="8"/>
      </w:r>
    </w:p>
    <w:p w14:paraId="50CA0715" w14:textId="6EC136D1" w:rsidR="007A682C" w:rsidRDefault="005C4957" w:rsidP="00E36B0E">
      <w:pPr>
        <w:numPr>
          <w:ilvl w:val="0"/>
          <w:numId w:val="1"/>
        </w:numPr>
        <w:tabs>
          <w:tab w:val="num" w:pos="0"/>
        </w:tabs>
        <w:spacing w:line="480" w:lineRule="auto"/>
        <w:ind w:left="0" w:firstLine="720"/>
        <w:jc w:val="both"/>
        <w:rPr>
          <w:szCs w:val="24"/>
        </w:rPr>
      </w:pPr>
      <w:r>
        <w:rPr>
          <w:szCs w:val="24"/>
        </w:rPr>
        <w:t>Even t</w:t>
      </w:r>
      <w:r w:rsidR="007A682C">
        <w:rPr>
          <w:szCs w:val="24"/>
        </w:rPr>
        <w:t>he Supreme Court has acknowledged the phrase, “</w:t>
      </w:r>
      <w:r w:rsidR="007A682C" w:rsidRPr="00876690">
        <w:rPr>
          <w:szCs w:val="24"/>
        </w:rPr>
        <w:t>‘There’s an app for that’ has become part of the 21st-century</w:t>
      </w:r>
      <w:r w:rsidR="007A682C">
        <w:rPr>
          <w:szCs w:val="24"/>
        </w:rPr>
        <w:t xml:space="preserve"> </w:t>
      </w:r>
      <w:r w:rsidR="007A682C" w:rsidRPr="00876690">
        <w:rPr>
          <w:szCs w:val="24"/>
        </w:rPr>
        <w:t xml:space="preserve">American lexicon.” </w:t>
      </w:r>
      <w:r w:rsidR="007A682C" w:rsidRPr="00876690">
        <w:rPr>
          <w:i/>
          <w:iCs/>
          <w:szCs w:val="24"/>
        </w:rPr>
        <w:t>Apple Inc. v. Pepper</w:t>
      </w:r>
      <w:r w:rsidR="007A682C" w:rsidRPr="00876690">
        <w:rPr>
          <w:szCs w:val="24"/>
        </w:rPr>
        <w:t>, 139 S. Ct. 1514, 1518, 203 L.Ed.2d 802, 806 (2019)</w:t>
      </w:r>
      <w:r w:rsidR="007A682C">
        <w:rPr>
          <w:szCs w:val="24"/>
        </w:rPr>
        <w:t>.</w:t>
      </w:r>
    </w:p>
    <w:p w14:paraId="7834CA42" w14:textId="0D4FFDD8" w:rsidR="000C64B8" w:rsidRDefault="000C64B8" w:rsidP="00E36B0E">
      <w:pPr>
        <w:numPr>
          <w:ilvl w:val="0"/>
          <w:numId w:val="1"/>
        </w:numPr>
        <w:tabs>
          <w:tab w:val="num" w:pos="0"/>
        </w:tabs>
        <w:spacing w:line="480" w:lineRule="auto"/>
        <w:ind w:left="0" w:firstLine="720"/>
        <w:jc w:val="both"/>
        <w:rPr>
          <w:szCs w:val="24"/>
        </w:rPr>
      </w:pPr>
      <w:r>
        <w:rPr>
          <w:szCs w:val="24"/>
        </w:rPr>
        <w:t>But “[a]</w:t>
      </w:r>
      <w:r w:rsidRPr="00AE60D1">
        <w:rPr>
          <w:szCs w:val="24"/>
        </w:rPr>
        <w:t>s technology continues to evolve at a rapid pace, it is important to consider factors that can facilitate or impede technology adoption and use by people with disabilities.</w:t>
      </w:r>
      <w:r>
        <w:rPr>
          <w:szCs w:val="24"/>
        </w:rPr>
        <w:t>”</w:t>
      </w:r>
      <w:r>
        <w:rPr>
          <w:rStyle w:val="FootnoteReference"/>
          <w:szCs w:val="24"/>
        </w:rPr>
        <w:footnoteReference w:id="9"/>
      </w:r>
      <w:r>
        <w:rPr>
          <w:szCs w:val="24"/>
        </w:rPr>
        <w:t xml:space="preserve"> </w:t>
      </w:r>
    </w:p>
    <w:p w14:paraId="1C403F70" w14:textId="5D02E73E" w:rsidR="000C64B8" w:rsidRDefault="000C64B8" w:rsidP="00E36B0E">
      <w:pPr>
        <w:numPr>
          <w:ilvl w:val="0"/>
          <w:numId w:val="1"/>
        </w:numPr>
        <w:tabs>
          <w:tab w:val="num" w:pos="0"/>
        </w:tabs>
        <w:spacing w:line="480" w:lineRule="auto"/>
        <w:ind w:left="0" w:firstLine="720"/>
        <w:jc w:val="both"/>
        <w:rPr>
          <w:szCs w:val="24"/>
        </w:rPr>
      </w:pPr>
      <w:r>
        <w:rPr>
          <w:szCs w:val="24"/>
        </w:rPr>
        <w:t xml:space="preserve">This is especially true </w:t>
      </w:r>
      <w:r w:rsidR="008C0E6A">
        <w:rPr>
          <w:szCs w:val="24"/>
        </w:rPr>
        <w:t xml:space="preserve">with respect to accessing </w:t>
      </w:r>
      <w:r w:rsidR="003F7F47">
        <w:rPr>
          <w:szCs w:val="24"/>
        </w:rPr>
        <w:t xml:space="preserve">goods and services over </w:t>
      </w:r>
      <w:r w:rsidR="008C0E6A">
        <w:rPr>
          <w:szCs w:val="24"/>
        </w:rPr>
        <w:t xml:space="preserve">the internet, </w:t>
      </w:r>
      <w:r>
        <w:rPr>
          <w:szCs w:val="24"/>
        </w:rPr>
        <w:t xml:space="preserve">where people with disabilities </w:t>
      </w:r>
      <w:r w:rsidR="008C0E6A">
        <w:rPr>
          <w:szCs w:val="24"/>
        </w:rPr>
        <w:t>stand to benefit immensely if online services</w:t>
      </w:r>
      <w:r w:rsidR="00183787">
        <w:rPr>
          <w:szCs w:val="24"/>
        </w:rPr>
        <w:t xml:space="preserve"> </w:t>
      </w:r>
      <w:r>
        <w:rPr>
          <w:szCs w:val="24"/>
        </w:rPr>
        <w:t>were fully and equally accessible to them. The National Federation of the Blind explains</w:t>
      </w:r>
      <w:r w:rsidR="008C0E6A">
        <w:rPr>
          <w:szCs w:val="24"/>
        </w:rPr>
        <w:t>:</w:t>
      </w:r>
    </w:p>
    <w:p w14:paraId="67CE7018" w14:textId="77777777" w:rsidR="000C64B8" w:rsidRDefault="000C64B8" w:rsidP="00E36B0E">
      <w:pPr>
        <w:spacing w:after="240" w:line="276" w:lineRule="auto"/>
        <w:ind w:left="720" w:right="720"/>
        <w:jc w:val="both"/>
        <w:rPr>
          <w:szCs w:val="24"/>
        </w:rPr>
      </w:pPr>
      <w:r w:rsidRPr="00E4122C">
        <w:rPr>
          <w:szCs w:val="24"/>
        </w:rPr>
        <w:t>In many ways, individuals with disabilities rely on Web content more so than their nondisabled peers because of inherent transportation, communication, and other barriers. A blind person does not have the same autonomy to drive to a covered entity’s office as a sighted person. A deaf or hard of hearing person does not have the same opportunity to call a covered entity’s office. A person with an intellectual disability does not have the same ability to interact independently with the staff at a covered entity’s office. The 24-hour</w:t>
      </w:r>
      <w:r>
        <w:rPr>
          <w:szCs w:val="24"/>
        </w:rPr>
        <w:t>-</w:t>
      </w:r>
      <w:r w:rsidRPr="00E4122C">
        <w:rPr>
          <w:szCs w:val="24"/>
        </w:rPr>
        <w:t xml:space="preserve">a-day availability of information and transactions on covered entity websites and mobile apps provides a level of independence and convenience that cannot be replicated through any other means. That is why the number of Americans who rely on the Internet has increased year </w:t>
      </w:r>
      <w:r w:rsidRPr="00E4122C">
        <w:rPr>
          <w:szCs w:val="24"/>
        </w:rPr>
        <w:lastRenderedPageBreak/>
        <w:t>after year and why entities offer information and transactions through that unique medium</w:t>
      </w:r>
      <w:r>
        <w:t>.</w:t>
      </w:r>
      <w:r>
        <w:rPr>
          <w:rStyle w:val="FootnoteReference"/>
        </w:rPr>
        <w:footnoteReference w:id="10"/>
      </w:r>
    </w:p>
    <w:p w14:paraId="75AF42B3" w14:textId="48967CD0" w:rsidR="000C64B8" w:rsidRPr="008465E1" w:rsidRDefault="000C64B8" w:rsidP="00E36B0E">
      <w:pPr>
        <w:numPr>
          <w:ilvl w:val="0"/>
          <w:numId w:val="1"/>
        </w:numPr>
        <w:tabs>
          <w:tab w:val="num" w:pos="0"/>
        </w:tabs>
        <w:spacing w:line="480" w:lineRule="auto"/>
        <w:ind w:left="0" w:firstLine="720"/>
        <w:jc w:val="both"/>
        <w:rPr>
          <w:szCs w:val="24"/>
        </w:rPr>
      </w:pPr>
      <w:r w:rsidRPr="00A101A0">
        <w:t xml:space="preserve">When </w:t>
      </w:r>
      <w:r>
        <w:t xml:space="preserve">digital content </w:t>
      </w:r>
      <w:r w:rsidRPr="00A101A0">
        <w:t xml:space="preserve">is properly formatted, it is universally </w:t>
      </w:r>
      <w:r w:rsidR="008C0E6A">
        <w:t xml:space="preserve">accessible </w:t>
      </w:r>
      <w:r w:rsidR="009C02BD">
        <w:t>to everyone</w:t>
      </w:r>
      <w:r>
        <w:t xml:space="preserve">. When it’s not, </w:t>
      </w:r>
      <w:r w:rsidR="002A5DD4">
        <w:t xml:space="preserve">the content provider fails to communicate to </w:t>
      </w:r>
      <w:r>
        <w:t xml:space="preserve">individuals </w:t>
      </w:r>
      <w:r w:rsidR="009C02BD">
        <w:t>with a visual disability</w:t>
      </w:r>
      <w:r w:rsidR="002A5DD4">
        <w:t xml:space="preserve"> effectively</w:t>
      </w:r>
      <w:r w:rsidR="0003113C">
        <w:t>. In turn, these individuals</w:t>
      </w:r>
      <w:r w:rsidR="009C02BD">
        <w:t xml:space="preserve"> </w:t>
      </w:r>
      <w:r w:rsidR="0003113C">
        <w:t>must</w:t>
      </w:r>
      <w:r w:rsidR="008C0E6A">
        <w:t xml:space="preserve"> expend additional </w:t>
      </w:r>
      <w:r>
        <w:t>time and effort</w:t>
      </w:r>
      <w:r w:rsidR="008C0E6A">
        <w:t xml:space="preserve"> to overcome </w:t>
      </w:r>
      <w:r w:rsidR="0003113C">
        <w:t>communication barriers</w:t>
      </w:r>
      <w:r w:rsidR="008C0E6A">
        <w:t xml:space="preserve"> not applicable to sighted users, </w:t>
      </w:r>
      <w:r w:rsidR="00B3008D">
        <w:t xml:space="preserve">which may </w:t>
      </w:r>
      <w:r w:rsidR="008C0E6A">
        <w:t xml:space="preserve">require the assistance of </w:t>
      </w:r>
      <w:r>
        <w:t>third parties</w:t>
      </w:r>
      <w:r w:rsidR="00B3008D">
        <w:t xml:space="preserve"> or, in some instances, may deny </w:t>
      </w:r>
      <w:r>
        <w:t xml:space="preserve">outright </w:t>
      </w:r>
      <w:r w:rsidR="00B3008D">
        <w:t xml:space="preserve">access to the </w:t>
      </w:r>
      <w:r w:rsidR="008C0E6A">
        <w:t xml:space="preserve">online </w:t>
      </w:r>
      <w:r w:rsidR="00B3008D">
        <w:t>service</w:t>
      </w:r>
      <w:r>
        <w:t>.</w:t>
      </w:r>
      <w:r>
        <w:rPr>
          <w:rStyle w:val="FootnoteReference"/>
        </w:rPr>
        <w:footnoteReference w:id="11"/>
      </w:r>
    </w:p>
    <w:p w14:paraId="396FD0FA" w14:textId="5828274C" w:rsidR="00B3008D" w:rsidRPr="00B3008D" w:rsidRDefault="00583526" w:rsidP="00E36B0E">
      <w:pPr>
        <w:numPr>
          <w:ilvl w:val="0"/>
          <w:numId w:val="1"/>
        </w:numPr>
        <w:tabs>
          <w:tab w:val="num" w:pos="0"/>
        </w:tabs>
        <w:spacing w:line="480" w:lineRule="auto"/>
        <w:ind w:left="0" w:firstLine="720"/>
        <w:jc w:val="both"/>
        <w:rPr>
          <w:szCs w:val="24"/>
        </w:rPr>
      </w:pPr>
      <w:r w:rsidRPr="00583526">
        <w:t xml:space="preserve">Unfortunately, Douglass cannot fully and equally access Defendant’s </w:t>
      </w:r>
      <w:r w:rsidR="00517A21">
        <w:t>D</w:t>
      </w:r>
      <w:r w:rsidRPr="00583526">
        <w:t xml:space="preserve">igital </w:t>
      </w:r>
      <w:r w:rsidR="00517A21">
        <w:t>P</w:t>
      </w:r>
      <w:r w:rsidRPr="00583526">
        <w:t xml:space="preserve">latform </w:t>
      </w:r>
      <w:r w:rsidR="00517A21">
        <w:t xml:space="preserve">(defined below) </w:t>
      </w:r>
      <w:r w:rsidRPr="00583526">
        <w:t xml:space="preserve">because Defendant’s accessibility policies and practices have made it impossible to </w:t>
      </w:r>
      <w:r w:rsidR="005C4957">
        <w:t xml:space="preserve">fully and equally </w:t>
      </w:r>
      <w:r w:rsidRPr="00583526">
        <w:t>perceive, understand, or operate the platform’s content with screen reader auxiliary aids</w:t>
      </w:r>
      <w:r w:rsidR="000C64B8">
        <w:t xml:space="preserve">. </w:t>
      </w:r>
    </w:p>
    <w:p w14:paraId="131C13B4" w14:textId="0F5D5956" w:rsidR="00310B3E" w:rsidRPr="001C5259" w:rsidRDefault="00583526" w:rsidP="00E36B0E">
      <w:pPr>
        <w:numPr>
          <w:ilvl w:val="0"/>
          <w:numId w:val="1"/>
        </w:numPr>
        <w:tabs>
          <w:tab w:val="num" w:pos="0"/>
        </w:tabs>
        <w:spacing w:line="480" w:lineRule="auto"/>
        <w:ind w:left="0" w:firstLine="720"/>
        <w:jc w:val="both"/>
        <w:rPr>
          <w:szCs w:val="24"/>
        </w:rPr>
      </w:pPr>
      <w:r w:rsidRPr="00583526">
        <w:t xml:space="preserve">As a result, this action for injunctive relief seeks an order requiring that Defendant (a) make its </w:t>
      </w:r>
      <w:r w:rsidR="00517A21">
        <w:t>D</w:t>
      </w:r>
      <w:r w:rsidRPr="00583526">
        <w:t xml:space="preserve">igital </w:t>
      </w:r>
      <w:r w:rsidR="00517A21">
        <w:t>P</w:t>
      </w:r>
      <w:r w:rsidRPr="00583526">
        <w:t xml:space="preserve">latform </w:t>
      </w:r>
      <w:r w:rsidR="00517A21">
        <w:t xml:space="preserve">(defined below) </w:t>
      </w:r>
      <w:r w:rsidRPr="00583526">
        <w:t xml:space="preserve">accessible to Douglass </w:t>
      </w:r>
      <w:r w:rsidR="00626459">
        <w:t xml:space="preserve">and class, </w:t>
      </w:r>
      <w:r w:rsidRPr="00583526">
        <w:t>and (b) adopt sufficient policies and practices, the details of which are more fully described below, to ensure the platform does not become inaccessible again in the future</w:t>
      </w:r>
      <w:r w:rsidR="000C64B8">
        <w:t>.</w:t>
      </w:r>
    </w:p>
    <w:p w14:paraId="0B529F30" w14:textId="07A025B2" w:rsidR="000C64B8" w:rsidRPr="000C64B8" w:rsidRDefault="000C64B8" w:rsidP="00EC1C77">
      <w:pPr>
        <w:keepNext/>
        <w:spacing w:line="480" w:lineRule="auto"/>
        <w:jc w:val="center"/>
        <w:rPr>
          <w:szCs w:val="24"/>
        </w:rPr>
      </w:pPr>
      <w:r w:rsidRPr="000C64B8">
        <w:rPr>
          <w:b/>
          <w:szCs w:val="24"/>
          <w:u w:val="single"/>
        </w:rPr>
        <w:lastRenderedPageBreak/>
        <w:t>JURISDICTION AND VENUE</w:t>
      </w:r>
    </w:p>
    <w:p w14:paraId="675CDA52" w14:textId="77777777" w:rsidR="000C64B8" w:rsidRPr="000C64B8" w:rsidRDefault="000C64B8" w:rsidP="00E36B0E">
      <w:pPr>
        <w:numPr>
          <w:ilvl w:val="0"/>
          <w:numId w:val="1"/>
        </w:numPr>
        <w:tabs>
          <w:tab w:val="clear" w:pos="1440"/>
        </w:tabs>
        <w:spacing w:line="480" w:lineRule="auto"/>
        <w:ind w:left="0" w:firstLine="720"/>
        <w:jc w:val="both"/>
        <w:rPr>
          <w:szCs w:val="24"/>
        </w:rPr>
      </w:pPr>
      <w:r w:rsidRPr="000C64B8">
        <w:rPr>
          <w:szCs w:val="24"/>
        </w:rPr>
        <w:t>The claims alleged arise under Title III such that this Court’s jurisdiction is invoked pursuant to 28 U.S.C. § 1331 and 42 U.S.C. § 12188.</w:t>
      </w:r>
    </w:p>
    <w:p w14:paraId="2B52B0F3" w14:textId="6485571E" w:rsidR="000C6075" w:rsidRDefault="000C64B8" w:rsidP="00E36B0E">
      <w:pPr>
        <w:numPr>
          <w:ilvl w:val="0"/>
          <w:numId w:val="1"/>
        </w:numPr>
        <w:tabs>
          <w:tab w:val="clear" w:pos="1440"/>
        </w:tabs>
        <w:spacing w:line="480" w:lineRule="auto"/>
        <w:ind w:left="0" w:firstLine="720"/>
        <w:jc w:val="both"/>
        <w:rPr>
          <w:szCs w:val="24"/>
        </w:rPr>
      </w:pPr>
      <w:r>
        <w:rPr>
          <w:szCs w:val="24"/>
        </w:rPr>
        <w:t>Defendant</w:t>
      </w:r>
      <w:r w:rsidRPr="000C64B8">
        <w:rPr>
          <w:szCs w:val="24"/>
        </w:rPr>
        <w:t xml:space="preserve"> attempts to, and indeed does, participate in the Commonwealth’s economic life by offering and providing services over the </w:t>
      </w:r>
      <w:r w:rsidR="00183787">
        <w:rPr>
          <w:szCs w:val="24"/>
        </w:rPr>
        <w:t>i</w:t>
      </w:r>
      <w:r w:rsidRPr="000C64B8">
        <w:rPr>
          <w:szCs w:val="24"/>
        </w:rPr>
        <w:t xml:space="preserve">nternet to </w:t>
      </w:r>
      <w:r w:rsidR="00183787">
        <w:rPr>
          <w:szCs w:val="24"/>
        </w:rPr>
        <w:t>Pennsylvania</w:t>
      </w:r>
      <w:r w:rsidRPr="000C64B8">
        <w:rPr>
          <w:szCs w:val="24"/>
        </w:rPr>
        <w:t xml:space="preserve"> residents, including </w:t>
      </w:r>
      <w:r w:rsidR="00D818A2">
        <w:rPr>
          <w:szCs w:val="24"/>
        </w:rPr>
        <w:t>Douglass</w:t>
      </w:r>
      <w:r w:rsidRPr="000C64B8">
        <w:rPr>
          <w:szCs w:val="24"/>
        </w:rPr>
        <w:t xml:space="preserve">. Unlike, for example, a winery that may not be able sell and ship wine to consumers in certain states, </w:t>
      </w:r>
      <w:r>
        <w:rPr>
          <w:szCs w:val="24"/>
        </w:rPr>
        <w:t>Defendant</w:t>
      </w:r>
      <w:r w:rsidRPr="000C64B8">
        <w:rPr>
          <w:szCs w:val="24"/>
        </w:rPr>
        <w:t xml:space="preserve"> purposefully avails itself of the benefits and advantages of operating an interactive, online business open 24-hours a day, 7-days a week, 365-days a year to </w:t>
      </w:r>
      <w:r w:rsidR="00183787">
        <w:rPr>
          <w:szCs w:val="24"/>
        </w:rPr>
        <w:t>Pennsylvania</w:t>
      </w:r>
      <w:r w:rsidRPr="000C64B8">
        <w:rPr>
          <w:szCs w:val="24"/>
        </w:rPr>
        <w:t xml:space="preserve"> residents.</w:t>
      </w:r>
      <w:r w:rsidR="00183787">
        <w:rPr>
          <w:rStyle w:val="FootnoteReference"/>
          <w:szCs w:val="24"/>
        </w:rPr>
        <w:footnoteReference w:id="12"/>
      </w:r>
      <w:r w:rsidR="00183787">
        <w:rPr>
          <w:szCs w:val="24"/>
        </w:rPr>
        <w:t xml:space="preserve"> </w:t>
      </w:r>
    </w:p>
    <w:p w14:paraId="6A6C1155" w14:textId="1A88AB05" w:rsidR="00BE1BC5" w:rsidRDefault="00BE1BC5" w:rsidP="00E36B0E">
      <w:pPr>
        <w:numPr>
          <w:ilvl w:val="0"/>
          <w:numId w:val="1"/>
        </w:numPr>
        <w:tabs>
          <w:tab w:val="clear" w:pos="1440"/>
        </w:tabs>
        <w:spacing w:line="480" w:lineRule="auto"/>
        <w:ind w:left="0" w:firstLine="720"/>
        <w:jc w:val="both"/>
        <w:rPr>
          <w:szCs w:val="24"/>
        </w:rPr>
      </w:pPr>
      <w:r>
        <w:rPr>
          <w:szCs w:val="24"/>
        </w:rPr>
        <w:t>To this end,</w:t>
      </w:r>
      <w:r w:rsidR="00437CF6">
        <w:rPr>
          <w:szCs w:val="24"/>
        </w:rPr>
        <w:t xml:space="preserve"> each month</w:t>
      </w:r>
      <w:r>
        <w:rPr>
          <w:szCs w:val="24"/>
        </w:rPr>
        <w:t xml:space="preserve"> </w:t>
      </w:r>
      <w:r w:rsidR="00FE4645">
        <w:rPr>
          <w:szCs w:val="24"/>
        </w:rPr>
        <w:t>approximately 1,592,659</w:t>
      </w:r>
      <w:r w:rsidR="00437CF6">
        <w:rPr>
          <w:szCs w:val="24"/>
        </w:rPr>
        <w:t xml:space="preserve"> </w:t>
      </w:r>
      <w:r>
        <w:rPr>
          <w:szCs w:val="24"/>
        </w:rPr>
        <w:t xml:space="preserve">individuals visit </w:t>
      </w:r>
      <w:hyperlink r:id="rId11" w:history="1">
        <w:r w:rsidR="00FE4645" w:rsidRPr="00E861F7">
          <w:rPr>
            <w:rStyle w:val="Hyperlink"/>
            <w:szCs w:val="24"/>
          </w:rPr>
          <w:t>https://www.oreo.com/</w:t>
        </w:r>
      </w:hyperlink>
      <w:r w:rsidR="00FE4645">
        <w:rPr>
          <w:szCs w:val="24"/>
        </w:rPr>
        <w:t xml:space="preserve">, which is one of the </w:t>
      </w:r>
      <w:r w:rsidR="00437CF6">
        <w:rPr>
          <w:szCs w:val="24"/>
        </w:rPr>
        <w:t xml:space="preserve">29 websites that make up </w:t>
      </w:r>
      <w:r>
        <w:rPr>
          <w:szCs w:val="24"/>
        </w:rPr>
        <w:t>the Digital Platform.</w:t>
      </w:r>
      <w:r>
        <w:rPr>
          <w:rStyle w:val="FootnoteReference"/>
          <w:szCs w:val="24"/>
        </w:rPr>
        <w:footnoteReference w:id="13"/>
      </w:r>
      <w:r>
        <w:rPr>
          <w:szCs w:val="24"/>
        </w:rPr>
        <w:t xml:space="preserve"> </w:t>
      </w:r>
      <w:r w:rsidR="00FE4645">
        <w:rPr>
          <w:szCs w:val="24"/>
        </w:rPr>
        <w:t>96</w:t>
      </w:r>
      <w:r w:rsidR="00437CF6">
        <w:rPr>
          <w:szCs w:val="24"/>
        </w:rPr>
        <w:t>% of these visitors are from the United States.</w:t>
      </w:r>
      <w:r w:rsidR="00FE4645">
        <w:rPr>
          <w:rStyle w:val="FootnoteReference"/>
          <w:szCs w:val="24"/>
        </w:rPr>
        <w:footnoteReference w:id="14"/>
      </w:r>
      <w:r w:rsidR="00437CF6">
        <w:rPr>
          <w:szCs w:val="24"/>
        </w:rPr>
        <w:t xml:space="preserve"> </w:t>
      </w:r>
      <w:r>
        <w:rPr>
          <w:szCs w:val="24"/>
        </w:rPr>
        <w:t>This means, based on U.S. Census data which indicates that 3.9% of the U.S. population reside</w:t>
      </w:r>
      <w:r w:rsidR="00C61B16">
        <w:rPr>
          <w:szCs w:val="24"/>
        </w:rPr>
        <w:t>s</w:t>
      </w:r>
      <w:r>
        <w:rPr>
          <w:szCs w:val="24"/>
        </w:rPr>
        <w:t xml:space="preserve"> in Pennsylvania,</w:t>
      </w:r>
      <w:r>
        <w:rPr>
          <w:rStyle w:val="FootnoteReference"/>
          <w:szCs w:val="24"/>
        </w:rPr>
        <w:footnoteReference w:id="15"/>
      </w:r>
      <w:r>
        <w:rPr>
          <w:szCs w:val="24"/>
        </w:rPr>
        <w:t xml:space="preserve"> </w:t>
      </w:r>
      <w:r w:rsidR="00C61B16">
        <w:rPr>
          <w:szCs w:val="24"/>
        </w:rPr>
        <w:t xml:space="preserve">that </w:t>
      </w:r>
      <w:r>
        <w:rPr>
          <w:szCs w:val="24"/>
        </w:rPr>
        <w:t xml:space="preserve">approximately </w:t>
      </w:r>
      <w:r w:rsidR="00FE4645">
        <w:rPr>
          <w:szCs w:val="24"/>
        </w:rPr>
        <w:t>59,629</w:t>
      </w:r>
      <w:r>
        <w:rPr>
          <w:szCs w:val="24"/>
        </w:rPr>
        <w:t xml:space="preserve"> individuals from Pennsylvania visit </w:t>
      </w:r>
      <w:r w:rsidR="00FE4645">
        <w:rPr>
          <w:szCs w:val="24"/>
        </w:rPr>
        <w:t xml:space="preserve">just this small fraction of </w:t>
      </w:r>
      <w:r>
        <w:rPr>
          <w:szCs w:val="24"/>
        </w:rPr>
        <w:t>the Digital Platform each month.</w:t>
      </w:r>
    </w:p>
    <w:p w14:paraId="70305A45" w14:textId="610253AE" w:rsidR="000C64B8" w:rsidRPr="000C64B8" w:rsidRDefault="00DA2640" w:rsidP="00E36B0E">
      <w:pPr>
        <w:numPr>
          <w:ilvl w:val="0"/>
          <w:numId w:val="1"/>
        </w:numPr>
        <w:tabs>
          <w:tab w:val="clear" w:pos="1440"/>
        </w:tabs>
        <w:spacing w:line="480" w:lineRule="auto"/>
        <w:ind w:left="0" w:firstLine="720"/>
        <w:jc w:val="both"/>
        <w:rPr>
          <w:szCs w:val="24"/>
        </w:rPr>
      </w:pPr>
      <w:r w:rsidRPr="00CB129F">
        <w:lastRenderedPageBreak/>
        <w:t xml:space="preserve">These online </w:t>
      </w:r>
      <w:r w:rsidR="00C26BA9">
        <w:t xml:space="preserve">interactions </w:t>
      </w:r>
      <w:r>
        <w:t xml:space="preserve">between Defendant and Pennsylvania residents </w:t>
      </w:r>
      <w:r w:rsidRPr="00CB129F">
        <w:t>involve, and indeed require,</w:t>
      </w:r>
      <w:r>
        <w:t xml:space="preserve"> Defendant’s </w:t>
      </w:r>
      <w:r w:rsidRPr="00CB129F">
        <w:t xml:space="preserve">knowing and repeated transmission of computer files over the </w:t>
      </w:r>
      <w:r>
        <w:t>i</w:t>
      </w:r>
      <w:r w:rsidRPr="00CB129F">
        <w:t>nterne</w:t>
      </w:r>
      <w:r>
        <w:t>t in</w:t>
      </w:r>
      <w:r w:rsidR="00C61B16">
        <w:t>to</w:t>
      </w:r>
      <w:r>
        <w:t xml:space="preserve"> Pennsylvania</w:t>
      </w:r>
      <w:r w:rsidR="000C64B8" w:rsidRPr="000C64B8">
        <w:rPr>
          <w:szCs w:val="24"/>
        </w:rPr>
        <w:t>.</w:t>
      </w:r>
      <w:r w:rsidR="000C6075">
        <w:rPr>
          <w:szCs w:val="24"/>
        </w:rPr>
        <w:t xml:space="preserve"> </w:t>
      </w:r>
    </w:p>
    <w:p w14:paraId="0A040B25" w14:textId="471332F8" w:rsidR="000C64B8" w:rsidRPr="000C64B8" w:rsidRDefault="00D818A2" w:rsidP="00E36B0E">
      <w:pPr>
        <w:numPr>
          <w:ilvl w:val="0"/>
          <w:numId w:val="1"/>
        </w:numPr>
        <w:tabs>
          <w:tab w:val="clear" w:pos="1440"/>
        </w:tabs>
        <w:spacing w:line="480" w:lineRule="auto"/>
        <w:ind w:left="0" w:firstLine="720"/>
        <w:jc w:val="both"/>
        <w:rPr>
          <w:szCs w:val="24"/>
        </w:rPr>
      </w:pPr>
      <w:r>
        <w:rPr>
          <w:szCs w:val="24"/>
        </w:rPr>
        <w:t>Douglass</w:t>
      </w:r>
      <w:r w:rsidR="000C64B8" w:rsidRPr="000C64B8">
        <w:rPr>
          <w:szCs w:val="24"/>
        </w:rPr>
        <w:t xml:space="preserve"> was injured when he attempted to access </w:t>
      </w:r>
      <w:r w:rsidR="000C64B8">
        <w:rPr>
          <w:szCs w:val="24"/>
        </w:rPr>
        <w:t>the</w:t>
      </w:r>
      <w:r w:rsidR="000C64B8" w:rsidRPr="000C64B8">
        <w:rPr>
          <w:szCs w:val="24"/>
        </w:rPr>
        <w:t xml:space="preserve"> Digital Platform </w:t>
      </w:r>
      <w:r w:rsidR="009C7A6B">
        <w:rPr>
          <w:szCs w:val="24"/>
        </w:rPr>
        <w:t xml:space="preserve">(defined below) </w:t>
      </w:r>
      <w:r w:rsidR="000C64B8" w:rsidRPr="000C64B8">
        <w:rPr>
          <w:szCs w:val="24"/>
        </w:rPr>
        <w:t xml:space="preserve">from </w:t>
      </w:r>
      <w:r w:rsidR="00DA2640">
        <w:rPr>
          <w:szCs w:val="24"/>
        </w:rPr>
        <w:t>Pittsburgh, Pennsylvania</w:t>
      </w:r>
      <w:r w:rsidR="000C64B8" w:rsidRPr="000C64B8">
        <w:rPr>
          <w:szCs w:val="24"/>
        </w:rPr>
        <w:t xml:space="preserve">, but encountered </w:t>
      </w:r>
      <w:r w:rsidR="00D74BDD">
        <w:rPr>
          <w:szCs w:val="24"/>
        </w:rPr>
        <w:t xml:space="preserve">communication </w:t>
      </w:r>
      <w:r w:rsidR="000C64B8" w:rsidRPr="000C64B8">
        <w:rPr>
          <w:szCs w:val="24"/>
        </w:rPr>
        <w:t xml:space="preserve">barriers that denied him full and equal access to </w:t>
      </w:r>
      <w:r w:rsidR="00DA2640">
        <w:rPr>
          <w:szCs w:val="24"/>
        </w:rPr>
        <w:t>Defendant’s</w:t>
      </w:r>
      <w:r w:rsidR="000C64B8" w:rsidRPr="000C64B8">
        <w:rPr>
          <w:szCs w:val="24"/>
        </w:rPr>
        <w:t xml:space="preserve"> online </w:t>
      </w:r>
      <w:r w:rsidR="002C7989">
        <w:rPr>
          <w:szCs w:val="24"/>
        </w:rPr>
        <w:t>products</w:t>
      </w:r>
      <w:r w:rsidR="000C64B8" w:rsidRPr="000C64B8">
        <w:rPr>
          <w:szCs w:val="24"/>
        </w:rPr>
        <w:t>, content, and services.</w:t>
      </w:r>
    </w:p>
    <w:p w14:paraId="5C7AB715" w14:textId="31E3AED3" w:rsidR="000C64B8" w:rsidRDefault="000C64B8" w:rsidP="00E36B0E">
      <w:pPr>
        <w:numPr>
          <w:ilvl w:val="0"/>
          <w:numId w:val="1"/>
        </w:numPr>
        <w:tabs>
          <w:tab w:val="clear" w:pos="1440"/>
        </w:tabs>
        <w:spacing w:line="480" w:lineRule="auto"/>
        <w:ind w:left="0" w:firstLine="720"/>
        <w:jc w:val="both"/>
        <w:rPr>
          <w:szCs w:val="24"/>
        </w:rPr>
      </w:pPr>
      <w:r w:rsidRPr="000C64B8">
        <w:rPr>
          <w:szCs w:val="24"/>
        </w:rPr>
        <w:t xml:space="preserve">Venue in this District is proper under 28 U.S.C. § 1391(b)(2) because this is the judicial district in which a substantial part of the acts and omissions giving rise to </w:t>
      </w:r>
      <w:r w:rsidR="00D818A2">
        <w:rPr>
          <w:szCs w:val="24"/>
        </w:rPr>
        <w:t>Douglass</w:t>
      </w:r>
      <w:r w:rsidRPr="000C64B8">
        <w:rPr>
          <w:szCs w:val="24"/>
        </w:rPr>
        <w:t>’s claims occurred</w:t>
      </w:r>
      <w:r>
        <w:rPr>
          <w:szCs w:val="24"/>
        </w:rPr>
        <w:t>.</w:t>
      </w:r>
    </w:p>
    <w:p w14:paraId="1D32C62E" w14:textId="06307D77" w:rsidR="000C64B8" w:rsidRPr="000C64B8" w:rsidRDefault="000C64B8" w:rsidP="00EC1C77">
      <w:pPr>
        <w:keepNext/>
        <w:spacing w:line="480" w:lineRule="auto"/>
        <w:jc w:val="center"/>
        <w:rPr>
          <w:b/>
          <w:bCs/>
          <w:szCs w:val="24"/>
          <w:u w:val="single"/>
        </w:rPr>
      </w:pPr>
      <w:r>
        <w:rPr>
          <w:b/>
          <w:bCs/>
          <w:szCs w:val="24"/>
          <w:u w:val="single"/>
        </w:rPr>
        <w:t>PARTIES</w:t>
      </w:r>
    </w:p>
    <w:p w14:paraId="6F291E4A" w14:textId="3C2E69FB" w:rsidR="000C64B8" w:rsidRPr="0057369F" w:rsidRDefault="00D818A2" w:rsidP="00E36B0E">
      <w:pPr>
        <w:numPr>
          <w:ilvl w:val="0"/>
          <w:numId w:val="1"/>
        </w:numPr>
        <w:tabs>
          <w:tab w:val="clear" w:pos="1440"/>
        </w:tabs>
        <w:spacing w:line="480" w:lineRule="auto"/>
        <w:ind w:left="0" w:firstLine="720"/>
        <w:jc w:val="both"/>
        <w:rPr>
          <w:szCs w:val="24"/>
        </w:rPr>
      </w:pPr>
      <w:r>
        <w:t>Douglass</w:t>
      </w:r>
      <w:r w:rsidR="0057369F">
        <w:t xml:space="preserve"> is a natural person over the age of 18. He resides in and is a citizen of </w:t>
      </w:r>
      <w:r w:rsidR="00DA2640">
        <w:t>Pittsburgh</w:t>
      </w:r>
      <w:r w:rsidR="0057369F">
        <w:t xml:space="preserve">, Pennsylvania, located in </w:t>
      </w:r>
      <w:r w:rsidR="00DA2640">
        <w:t>Allegheny</w:t>
      </w:r>
      <w:r w:rsidR="0057369F">
        <w:t xml:space="preserve"> County</w:t>
      </w:r>
      <w:r w:rsidR="000C64B8">
        <w:t>.</w:t>
      </w:r>
    </w:p>
    <w:p w14:paraId="5624391F" w14:textId="77777777" w:rsidR="00DA2640" w:rsidRPr="00DA2640" w:rsidRDefault="00DA2640" w:rsidP="00E36B0E">
      <w:pPr>
        <w:numPr>
          <w:ilvl w:val="0"/>
          <w:numId w:val="1"/>
        </w:numPr>
        <w:tabs>
          <w:tab w:val="clear" w:pos="1440"/>
        </w:tabs>
        <w:spacing w:line="480" w:lineRule="auto"/>
        <w:ind w:left="0" w:firstLine="720"/>
        <w:jc w:val="both"/>
        <w:rPr>
          <w:szCs w:val="24"/>
        </w:rPr>
      </w:pPr>
      <w:r>
        <w:t xml:space="preserve">He works for an area university as a Program Administrator, managing all phases of the admission process for a highly competitive science training program, among other things. </w:t>
      </w:r>
      <w:r w:rsidR="002F66BB">
        <w:rPr>
          <w:szCs w:val="24"/>
        </w:rPr>
        <w:t>Douglass</w:t>
      </w:r>
      <w:r>
        <w:rPr>
          <w:szCs w:val="24"/>
        </w:rPr>
        <w:t xml:space="preserve"> </w:t>
      </w:r>
      <w:r>
        <w:t xml:space="preserve">is also a licensed Pennsylvania attorney. He graduated from the University of Pittsburgh School of Law. During his enrollment at Pitt Law, </w:t>
      </w:r>
      <w:r w:rsidR="002F66BB">
        <w:t>Douglass</w:t>
      </w:r>
      <w:r>
        <w:t xml:space="preserve"> completed a judicial internship in the United States District Court for the Western District of Pennsylvania.</w:t>
      </w:r>
      <w:r>
        <w:rPr>
          <w:rStyle w:val="FootnoteReference"/>
        </w:rPr>
        <w:footnoteReference w:id="16"/>
      </w:r>
    </w:p>
    <w:p w14:paraId="278AC03A" w14:textId="6EA680F8" w:rsidR="000C64B8" w:rsidRPr="00464A2B" w:rsidRDefault="002F66BB" w:rsidP="00E36B0E">
      <w:pPr>
        <w:numPr>
          <w:ilvl w:val="0"/>
          <w:numId w:val="1"/>
        </w:numPr>
        <w:tabs>
          <w:tab w:val="clear" w:pos="1440"/>
        </w:tabs>
        <w:spacing w:line="480" w:lineRule="auto"/>
        <w:ind w:left="0" w:firstLine="720"/>
        <w:jc w:val="both"/>
        <w:rPr>
          <w:szCs w:val="24"/>
        </w:rPr>
      </w:pPr>
      <w:r>
        <w:t>Douglass</w:t>
      </w:r>
      <w:r w:rsidR="00464A2B">
        <w:t xml:space="preserve"> </w:t>
      </w:r>
      <w:r w:rsidR="00464A2B" w:rsidRPr="00E31EB2">
        <w:t xml:space="preserve">is and, at all times relevant hereto, has been </w:t>
      </w:r>
      <w:r w:rsidR="00464A2B" w:rsidRPr="00B41DA8">
        <w:rPr>
          <w:szCs w:val="24"/>
        </w:rPr>
        <w:t xml:space="preserve">legally blind and is therefore a member of a protected class under the ADA, 42 U.S.C. § 12102(2), and the regulations implementing the ADA set forth at 28 CFR §§ 36.101 </w:t>
      </w:r>
      <w:r w:rsidR="00464A2B" w:rsidRPr="00B41DA8">
        <w:rPr>
          <w:i/>
          <w:szCs w:val="24"/>
        </w:rPr>
        <w:t>et seq</w:t>
      </w:r>
      <w:r w:rsidR="00464A2B" w:rsidRPr="00B41DA8">
        <w:rPr>
          <w:szCs w:val="24"/>
        </w:rPr>
        <w:t>.</w:t>
      </w:r>
      <w:r w:rsidR="00464A2B">
        <w:rPr>
          <w:szCs w:val="24"/>
        </w:rPr>
        <w:t xml:space="preserve"> As a result of his blindness, </w:t>
      </w:r>
      <w:r>
        <w:rPr>
          <w:szCs w:val="24"/>
        </w:rPr>
        <w:t>Douglass</w:t>
      </w:r>
      <w:r w:rsidR="00464A2B">
        <w:rPr>
          <w:szCs w:val="24"/>
        </w:rPr>
        <w:t xml:space="preserve"> </w:t>
      </w:r>
      <w:r w:rsidR="00464A2B">
        <w:rPr>
          <w:szCs w:val="24"/>
        </w:rPr>
        <w:lastRenderedPageBreak/>
        <w:t>relies on screen access software, including JAWS 2020 from Freedom Scientific and VoiceOver with iOS, to access digital content, like an email, a website, or an app</w:t>
      </w:r>
      <w:r w:rsidR="000C64B8">
        <w:t>.</w:t>
      </w:r>
    </w:p>
    <w:p w14:paraId="3FEC7A40" w14:textId="77777777" w:rsidR="00C0327A" w:rsidRDefault="002F66BB" w:rsidP="00E36B0E">
      <w:pPr>
        <w:numPr>
          <w:ilvl w:val="0"/>
          <w:numId w:val="1"/>
        </w:numPr>
        <w:tabs>
          <w:tab w:val="num" w:pos="0"/>
        </w:tabs>
        <w:spacing w:line="480" w:lineRule="auto"/>
        <w:ind w:left="0" w:firstLine="720"/>
        <w:jc w:val="both"/>
        <w:rPr>
          <w:szCs w:val="24"/>
        </w:rPr>
      </w:pPr>
      <w:r>
        <w:rPr>
          <w:szCs w:val="24"/>
        </w:rPr>
        <w:t>Douglass</w:t>
      </w:r>
      <w:r w:rsidR="00464A2B" w:rsidRPr="00FE0516">
        <w:rPr>
          <w:szCs w:val="24"/>
        </w:rPr>
        <w:t xml:space="preserve"> has advocated for </w:t>
      </w:r>
      <w:r w:rsidR="00464A2B">
        <w:rPr>
          <w:szCs w:val="24"/>
        </w:rPr>
        <w:t xml:space="preserve">blind </w:t>
      </w:r>
      <w:r w:rsidR="00464A2B" w:rsidRPr="00FE0516">
        <w:rPr>
          <w:szCs w:val="24"/>
        </w:rPr>
        <w:t>individuals</w:t>
      </w:r>
      <w:r w:rsidR="00464A2B">
        <w:rPr>
          <w:szCs w:val="24"/>
        </w:rPr>
        <w:t xml:space="preserve"> </w:t>
      </w:r>
      <w:r w:rsidR="00464A2B" w:rsidRPr="00FE0516">
        <w:rPr>
          <w:szCs w:val="24"/>
        </w:rPr>
        <w:t>his entire life</w:t>
      </w:r>
      <w:r w:rsidR="00464A2B">
        <w:rPr>
          <w:szCs w:val="24"/>
        </w:rPr>
        <w:t xml:space="preserve"> and long before filing a lawsuit.</w:t>
      </w:r>
      <w:r w:rsidR="00464A2B">
        <w:rPr>
          <w:rStyle w:val="FootnoteReference"/>
          <w:szCs w:val="24"/>
        </w:rPr>
        <w:footnoteReference w:id="17"/>
      </w:r>
    </w:p>
    <w:p w14:paraId="79A6F6E3" w14:textId="722FB673" w:rsidR="00F55060" w:rsidRPr="00C0327A" w:rsidRDefault="00F55060" w:rsidP="00E36B0E">
      <w:pPr>
        <w:numPr>
          <w:ilvl w:val="0"/>
          <w:numId w:val="1"/>
        </w:numPr>
        <w:tabs>
          <w:tab w:val="num" w:pos="0"/>
        </w:tabs>
        <w:spacing w:line="480" w:lineRule="auto"/>
        <w:ind w:left="0" w:firstLine="720"/>
        <w:jc w:val="both"/>
        <w:rPr>
          <w:szCs w:val="24"/>
        </w:rPr>
      </w:pPr>
      <w:r w:rsidRPr="00C0327A">
        <w:rPr>
          <w:szCs w:val="24"/>
        </w:rPr>
        <w:t xml:space="preserve">The United States District Court for the Western District of Pennsylvania </w:t>
      </w:r>
      <w:r w:rsidR="00C0327A" w:rsidRPr="00C0327A">
        <w:rPr>
          <w:szCs w:val="24"/>
        </w:rPr>
        <w:t xml:space="preserve">appointed Douglass as class representative in a class action case substantially similar to this action. </w:t>
      </w:r>
      <w:r w:rsidR="00C0327A" w:rsidRPr="00C0327A">
        <w:rPr>
          <w:i/>
          <w:iCs/>
          <w:szCs w:val="24"/>
        </w:rPr>
        <w:t>Murphy</w:t>
      </w:r>
      <w:r w:rsidRPr="00C0327A">
        <w:rPr>
          <w:i/>
          <w:iCs/>
          <w:szCs w:val="24"/>
        </w:rPr>
        <w:t xml:space="preserve"> v. Charles Tyrwhitt, Inc</w:t>
      </w:r>
      <w:r w:rsidRPr="00C0327A">
        <w:rPr>
          <w:szCs w:val="24"/>
        </w:rPr>
        <w:t>., No. 1:20-cv-00056 (Erie), 2020 U.S. Dist. LEXIS 222540, at *</w:t>
      </w:r>
      <w:r w:rsidR="00C0327A">
        <w:rPr>
          <w:szCs w:val="24"/>
        </w:rPr>
        <w:t>9</w:t>
      </w:r>
      <w:r w:rsidRPr="00C0327A">
        <w:rPr>
          <w:szCs w:val="24"/>
        </w:rPr>
        <w:t>, *</w:t>
      </w:r>
      <w:r w:rsidR="00C0327A">
        <w:rPr>
          <w:szCs w:val="24"/>
        </w:rPr>
        <w:t>34</w:t>
      </w:r>
      <w:r w:rsidRPr="00C0327A">
        <w:rPr>
          <w:szCs w:val="24"/>
        </w:rPr>
        <w:t xml:space="preserve"> (W.D. Pa. Nov. 25, 2020), </w:t>
      </w:r>
      <w:r w:rsidRPr="00C0327A">
        <w:rPr>
          <w:i/>
          <w:iCs/>
          <w:szCs w:val="24"/>
        </w:rPr>
        <w:t>report and recommendation adopted by</w:t>
      </w:r>
      <w:r w:rsidRPr="00C0327A">
        <w:rPr>
          <w:szCs w:val="24"/>
        </w:rPr>
        <w:t xml:space="preserve"> 2021 U.S. Dist. LEXIS 144 (W.D. Pa. Jan. 4, 2021)</w:t>
      </w:r>
      <w:r w:rsidR="00C0327A" w:rsidRPr="00C0327A">
        <w:rPr>
          <w:szCs w:val="24"/>
        </w:rPr>
        <w:t xml:space="preserve"> (</w:t>
      </w:r>
      <w:r w:rsidR="00C0327A">
        <w:rPr>
          <w:szCs w:val="24"/>
        </w:rPr>
        <w:t xml:space="preserve">“Based on the above, the Court finds that Anthony Hammond Murphy and </w:t>
      </w:r>
      <w:r w:rsidR="00C0327A" w:rsidRPr="00C0327A">
        <w:rPr>
          <w:szCs w:val="24"/>
        </w:rPr>
        <w:t xml:space="preserve">Blair </w:t>
      </w:r>
      <w:r w:rsidR="00A378FE">
        <w:rPr>
          <w:szCs w:val="24"/>
        </w:rPr>
        <w:t xml:space="preserve">Douglass </w:t>
      </w:r>
      <w:r w:rsidR="00C0327A">
        <w:rPr>
          <w:szCs w:val="24"/>
        </w:rPr>
        <w:t xml:space="preserve">[sic] </w:t>
      </w:r>
      <w:r w:rsidR="00C0327A" w:rsidRPr="00C0327A">
        <w:rPr>
          <w:szCs w:val="24"/>
        </w:rPr>
        <w:t>will fairly and adequately represent the class as representative Plaintiffs and that their proposed class counsel will fairly and adequately protect the interests of the class and provide capable legal representation. The adequacy requirement of Rule 23(a) is satisfied.</w:t>
      </w:r>
      <w:r w:rsidR="00C0327A">
        <w:rPr>
          <w:szCs w:val="24"/>
        </w:rPr>
        <w:t>”).</w:t>
      </w:r>
    </w:p>
    <w:p w14:paraId="73EBDAD0" w14:textId="614C0C6D" w:rsidR="008F0EE1" w:rsidRDefault="008F0EE1" w:rsidP="008F0EE1">
      <w:pPr>
        <w:numPr>
          <w:ilvl w:val="0"/>
          <w:numId w:val="1"/>
        </w:numPr>
        <w:tabs>
          <w:tab w:val="num" w:pos="0"/>
        </w:tabs>
        <w:spacing w:line="480" w:lineRule="auto"/>
        <w:ind w:left="0" w:firstLine="720"/>
        <w:jc w:val="both"/>
        <w:rPr>
          <w:szCs w:val="24"/>
        </w:rPr>
      </w:pPr>
      <w:r>
        <w:rPr>
          <w:szCs w:val="24"/>
        </w:rPr>
        <w:t xml:space="preserve">Defendant </w:t>
      </w:r>
      <w:r>
        <w:rPr>
          <w:rFonts w:eastAsia="Calibri" w:cs="Times New Roman (Body CS)"/>
          <w:szCs w:val="24"/>
        </w:rPr>
        <w:t>Mondelēz</w:t>
      </w:r>
      <w:r>
        <w:rPr>
          <w:szCs w:val="24"/>
        </w:rPr>
        <w:t xml:space="preserve"> International, Inc. is a Virginia corporation with a principal place of business at 905 West Fulton Market, Suite 200, Chicago, IL 60607.</w:t>
      </w:r>
    </w:p>
    <w:p w14:paraId="7D40BA58" w14:textId="77777777" w:rsidR="008F0EE1" w:rsidRDefault="008F0EE1" w:rsidP="008F0EE1">
      <w:pPr>
        <w:numPr>
          <w:ilvl w:val="0"/>
          <w:numId w:val="1"/>
        </w:numPr>
        <w:tabs>
          <w:tab w:val="num" w:pos="0"/>
        </w:tabs>
        <w:spacing w:line="480" w:lineRule="auto"/>
        <w:ind w:left="0" w:firstLine="720"/>
        <w:jc w:val="both"/>
        <w:rPr>
          <w:szCs w:val="24"/>
        </w:rPr>
      </w:pPr>
      <w:r>
        <w:rPr>
          <w:szCs w:val="24"/>
        </w:rPr>
        <w:t>Defendant</w:t>
      </w:r>
      <w:r w:rsidRPr="006B1089">
        <w:rPr>
          <w:szCs w:val="24"/>
        </w:rPr>
        <w:t xml:space="preserve"> </w:t>
      </w:r>
      <w:r>
        <w:rPr>
          <w:szCs w:val="24"/>
        </w:rPr>
        <w:t>sells snack foods and provides related services to consumers</w:t>
      </w:r>
      <w:r w:rsidR="00EC67F3" w:rsidRPr="00EC67F3">
        <w:rPr>
          <w:szCs w:val="24"/>
        </w:rPr>
        <w:t>.</w:t>
      </w:r>
      <w:r w:rsidR="006B4E4A" w:rsidRPr="006B1089">
        <w:rPr>
          <w:szCs w:val="24"/>
        </w:rPr>
        <w:t xml:space="preserve"> </w:t>
      </w:r>
    </w:p>
    <w:p w14:paraId="385AEE44" w14:textId="6B810AF4" w:rsidR="006B4E4A" w:rsidRPr="008F0EE1" w:rsidRDefault="006B4E4A" w:rsidP="00BA6F3F">
      <w:pPr>
        <w:numPr>
          <w:ilvl w:val="0"/>
          <w:numId w:val="1"/>
        </w:numPr>
        <w:tabs>
          <w:tab w:val="num" w:pos="0"/>
        </w:tabs>
        <w:spacing w:before="60" w:after="60" w:line="480" w:lineRule="auto"/>
        <w:ind w:left="0" w:firstLine="720"/>
        <w:jc w:val="both"/>
      </w:pPr>
      <w:r w:rsidRPr="008F0EE1">
        <w:rPr>
          <w:szCs w:val="24"/>
        </w:rPr>
        <w:t xml:space="preserve">In order to </w:t>
      </w:r>
      <w:r w:rsidR="002864AD" w:rsidRPr="008F0EE1">
        <w:rPr>
          <w:szCs w:val="24"/>
        </w:rPr>
        <w:t>access</w:t>
      </w:r>
      <w:r w:rsidR="004D2AB4" w:rsidRPr="008F0EE1">
        <w:rPr>
          <w:szCs w:val="24"/>
        </w:rPr>
        <w:t>, research,</w:t>
      </w:r>
      <w:r w:rsidR="002864AD" w:rsidRPr="008F0EE1">
        <w:rPr>
          <w:szCs w:val="24"/>
        </w:rPr>
        <w:t xml:space="preserve"> </w:t>
      </w:r>
      <w:r w:rsidR="004D2AB4" w:rsidRPr="008F0EE1">
        <w:rPr>
          <w:szCs w:val="24"/>
        </w:rPr>
        <w:t>or</w:t>
      </w:r>
      <w:r w:rsidR="00EC67F3" w:rsidRPr="008F0EE1">
        <w:rPr>
          <w:szCs w:val="24"/>
        </w:rPr>
        <w:t xml:space="preserve"> purchase the products and services that </w:t>
      </w:r>
      <w:r w:rsidRPr="008F0EE1">
        <w:rPr>
          <w:szCs w:val="24"/>
        </w:rPr>
        <w:t>Defendant</w:t>
      </w:r>
      <w:r w:rsidR="00EC67F3" w:rsidRPr="008F0EE1">
        <w:rPr>
          <w:szCs w:val="24"/>
        </w:rPr>
        <w:t xml:space="preserve"> offers</w:t>
      </w:r>
      <w:r w:rsidRPr="008F0EE1">
        <w:rPr>
          <w:szCs w:val="24"/>
        </w:rPr>
        <w:t xml:space="preserve">, </w:t>
      </w:r>
      <w:r w:rsidR="004D2AB4" w:rsidRPr="008F0EE1">
        <w:rPr>
          <w:szCs w:val="24"/>
        </w:rPr>
        <w:t>Douglass</w:t>
      </w:r>
      <w:r w:rsidR="007D0D97" w:rsidRPr="008F0EE1">
        <w:rPr>
          <w:szCs w:val="24"/>
        </w:rPr>
        <w:t xml:space="preserve"> may visit Defendant’s </w:t>
      </w:r>
      <w:r w:rsidR="00DF549A" w:rsidRPr="008F0EE1">
        <w:rPr>
          <w:szCs w:val="24"/>
        </w:rPr>
        <w:t>digital properties</w:t>
      </w:r>
      <w:r w:rsidRPr="008F0EE1">
        <w:rPr>
          <w:szCs w:val="24"/>
        </w:rPr>
        <w:t>, located</w:t>
      </w:r>
      <w:r w:rsidR="007D0D97" w:rsidRPr="008F0EE1">
        <w:rPr>
          <w:szCs w:val="24"/>
        </w:rPr>
        <w:t xml:space="preserve"> at</w:t>
      </w:r>
      <w:r w:rsidR="007A682C" w:rsidRPr="008F0EE1">
        <w:rPr>
          <w:szCs w:val="24"/>
        </w:rPr>
        <w:t xml:space="preserve"> </w:t>
      </w:r>
      <w:bookmarkStart w:id="1" w:name="_Hlk103339093"/>
      <w:bookmarkStart w:id="2" w:name="_Hlk106077801"/>
      <w:r w:rsidR="008F0EE1" w:rsidRPr="008F0EE1">
        <w:t>us.greenandblacks.com</w:t>
      </w:r>
      <w:r w:rsidR="008F0EE1">
        <w:t xml:space="preserve">, </w:t>
      </w:r>
      <w:hyperlink r:id="rId12" w:history="1">
        <w:r w:rsidR="008F0EE1" w:rsidRPr="008F0EE1">
          <w:rPr>
            <w:rStyle w:val="Hyperlink"/>
          </w:rPr>
          <w:t>www.belvitabreakfast.com</w:t>
        </w:r>
      </w:hyperlink>
      <w:r w:rsidR="008F0EE1">
        <w:t xml:space="preserve">, </w:t>
      </w:r>
      <w:hyperlink r:id="rId13" w:history="1">
        <w:r w:rsidR="008F0EE1" w:rsidRPr="008F0EE1">
          <w:rPr>
            <w:rStyle w:val="Hyperlink"/>
          </w:rPr>
          <w:t>www.capaofruit.com</w:t>
        </w:r>
      </w:hyperlink>
      <w:r w:rsidR="008F0EE1">
        <w:t xml:space="preserve">, </w:t>
      </w:r>
      <w:hyperlink r:id="rId14" w:history="1">
        <w:r w:rsidR="008F0EE1" w:rsidRPr="008F0EE1">
          <w:rPr>
            <w:rStyle w:val="Hyperlink"/>
          </w:rPr>
          <w:t>www.createatreat.com</w:t>
        </w:r>
      </w:hyperlink>
      <w:r w:rsidR="008F0EE1">
        <w:t xml:space="preserve">, </w:t>
      </w:r>
      <w:hyperlink r:id="rId15" w:history="1">
        <w:r w:rsidR="008F0EE1" w:rsidRPr="008F0EE1">
          <w:rPr>
            <w:rStyle w:val="Hyperlink"/>
          </w:rPr>
          <w:t>www.dentyne.com</w:t>
        </w:r>
      </w:hyperlink>
      <w:r w:rsidR="008F0EE1">
        <w:t xml:space="preserve">, </w:t>
      </w:r>
      <w:hyperlink r:id="rId16" w:history="1">
        <w:r w:rsidR="008F0EE1" w:rsidRPr="008F0EE1">
          <w:rPr>
            <w:rStyle w:val="Hyperlink"/>
          </w:rPr>
          <w:t>www.dirtkitchensnacks.com</w:t>
        </w:r>
      </w:hyperlink>
      <w:r w:rsidR="008F0EE1">
        <w:t xml:space="preserve">, </w:t>
      </w:r>
      <w:hyperlink r:id="rId17" w:history="1">
        <w:r w:rsidR="008F0EE1" w:rsidRPr="008F0EE1">
          <w:rPr>
            <w:rStyle w:val="Hyperlink"/>
          </w:rPr>
          <w:t>www.discoverteddy.com</w:t>
        </w:r>
      </w:hyperlink>
      <w:r w:rsidR="008F0EE1">
        <w:t xml:space="preserve">, </w:t>
      </w:r>
      <w:hyperlink r:id="rId18" w:history="1">
        <w:r w:rsidR="008F0EE1" w:rsidRPr="008F0EE1">
          <w:rPr>
            <w:rStyle w:val="Hyperlink"/>
          </w:rPr>
          <w:t>www.enjoylifefoods.com</w:t>
        </w:r>
      </w:hyperlink>
      <w:r w:rsidR="008F0EE1">
        <w:t xml:space="preserve">, </w:t>
      </w:r>
      <w:hyperlink r:id="rId19" w:history="1">
        <w:r w:rsidR="008F0EE1" w:rsidRPr="008F0EE1">
          <w:rPr>
            <w:rStyle w:val="Hyperlink"/>
          </w:rPr>
          <w:t>www.gethalls.com</w:t>
        </w:r>
      </w:hyperlink>
      <w:r w:rsidR="008F0EE1">
        <w:t xml:space="preserve">, </w:t>
      </w:r>
      <w:hyperlink r:id="rId20" w:history="1">
        <w:r w:rsidR="008F0EE1" w:rsidRPr="008F0EE1">
          <w:rPr>
            <w:rStyle w:val="Hyperlink"/>
          </w:rPr>
          <w:t>www.giveandgo.com</w:t>
        </w:r>
      </w:hyperlink>
      <w:r w:rsidR="008F0EE1">
        <w:t xml:space="preserve">, </w:t>
      </w:r>
      <w:hyperlink r:id="rId21" w:history="1">
        <w:r w:rsidR="008F0EE1" w:rsidRPr="008F0EE1">
          <w:rPr>
            <w:rStyle w:val="Hyperlink"/>
          </w:rPr>
          <w:t>www.goodthins.com</w:t>
        </w:r>
      </w:hyperlink>
      <w:r w:rsidR="008F0EE1">
        <w:t xml:space="preserve">, </w:t>
      </w:r>
      <w:hyperlink r:id="rId22" w:history="1">
        <w:r w:rsidR="008F0EE1" w:rsidRPr="008F0EE1">
          <w:rPr>
            <w:rStyle w:val="Hyperlink"/>
          </w:rPr>
          <w:t>www.hukitchen.com</w:t>
        </w:r>
      </w:hyperlink>
      <w:r w:rsidR="008F0EE1">
        <w:t xml:space="preserve">, </w:t>
      </w:r>
      <w:hyperlink r:id="rId23" w:history="1">
        <w:r w:rsidR="008F0EE1" w:rsidRPr="008F0EE1">
          <w:rPr>
            <w:rStyle w:val="Hyperlink"/>
          </w:rPr>
          <w:t>www.kimberleysbakeshoppe.com</w:t>
        </w:r>
      </w:hyperlink>
      <w:r w:rsidR="008F0EE1">
        <w:t xml:space="preserve">, </w:t>
      </w:r>
      <w:hyperlink r:id="rId24" w:history="1">
        <w:r w:rsidR="008F0EE1" w:rsidRPr="008F0EE1">
          <w:rPr>
            <w:rStyle w:val="Hyperlink"/>
          </w:rPr>
          <w:t>www.masonstbakehouse.com</w:t>
        </w:r>
      </w:hyperlink>
      <w:r w:rsidR="008F0EE1">
        <w:t xml:space="preserve">, </w:t>
      </w:r>
      <w:hyperlink r:id="rId25" w:history="1">
        <w:r w:rsidR="008F0EE1" w:rsidRPr="008F0EE1">
          <w:rPr>
            <w:rStyle w:val="Hyperlink"/>
          </w:rPr>
          <w:t>www.mdlzcusthelp.com</w:t>
        </w:r>
      </w:hyperlink>
      <w:r w:rsidR="008F0EE1">
        <w:t xml:space="preserve">, </w:t>
      </w:r>
      <w:hyperlink r:id="rId26" w:history="1">
        <w:r w:rsidR="008F0EE1" w:rsidRPr="008F0EE1">
          <w:rPr>
            <w:rStyle w:val="Hyperlink"/>
          </w:rPr>
          <w:t>www.milliegram.com</w:t>
        </w:r>
      </w:hyperlink>
      <w:r w:rsidR="008F0EE1">
        <w:t xml:space="preserve">, </w:t>
      </w:r>
      <w:hyperlink r:id="rId27" w:history="1">
        <w:r w:rsidR="008F0EE1" w:rsidRPr="008F0EE1">
          <w:rPr>
            <w:rStyle w:val="Hyperlink"/>
          </w:rPr>
          <w:t>www.mondelezinternational.com</w:t>
        </w:r>
      </w:hyperlink>
      <w:r w:rsidR="008F0EE1">
        <w:t xml:space="preserve">, </w:t>
      </w:r>
      <w:hyperlink r:id="rId28" w:history="1">
        <w:r w:rsidR="008F0EE1" w:rsidRPr="008F0EE1">
          <w:rPr>
            <w:rStyle w:val="Hyperlink"/>
          </w:rPr>
          <w:t>www.oreo.com</w:t>
        </w:r>
      </w:hyperlink>
      <w:r w:rsidR="008F0EE1">
        <w:t xml:space="preserve">, </w:t>
      </w:r>
      <w:hyperlink r:id="rId29" w:history="1">
        <w:r w:rsidR="008F0EE1" w:rsidRPr="008F0EE1">
          <w:rPr>
            <w:rStyle w:val="Hyperlink"/>
          </w:rPr>
          <w:t>www.perfectsnacks.com</w:t>
        </w:r>
      </w:hyperlink>
      <w:r w:rsidR="008F0EE1">
        <w:t xml:space="preserve">, </w:t>
      </w:r>
      <w:hyperlink r:id="rId30" w:history="1">
        <w:r w:rsidR="008F0EE1" w:rsidRPr="008F0EE1">
          <w:rPr>
            <w:rStyle w:val="Hyperlink"/>
          </w:rPr>
          <w:t>www.ritzcrackers.com</w:t>
        </w:r>
      </w:hyperlink>
      <w:r w:rsidR="008F0EE1">
        <w:t xml:space="preserve">, </w:t>
      </w:r>
      <w:hyperlink r:id="rId31" w:history="1">
        <w:r w:rsidR="008F0EE1" w:rsidRPr="008F0EE1">
          <w:rPr>
            <w:rStyle w:val="Hyperlink"/>
          </w:rPr>
          <w:t>www.ruckusandcosnacks.com</w:t>
        </w:r>
      </w:hyperlink>
      <w:r w:rsidR="008F0EE1">
        <w:t xml:space="preserve">, </w:t>
      </w:r>
      <w:hyperlink r:id="rId32" w:history="1">
        <w:r w:rsidR="008F0EE1" w:rsidRPr="008F0EE1">
          <w:rPr>
            <w:rStyle w:val="Hyperlink"/>
          </w:rPr>
          <w:t>www.snackworks.com</w:t>
        </w:r>
      </w:hyperlink>
      <w:r w:rsidR="008F0EE1">
        <w:t xml:space="preserve">, </w:t>
      </w:r>
      <w:hyperlink r:id="rId33" w:history="1">
        <w:r w:rsidR="008F0EE1" w:rsidRPr="008F0EE1">
          <w:rPr>
            <w:rStyle w:val="Hyperlink"/>
          </w:rPr>
          <w:t>www.sourpatchkids.com</w:t>
        </w:r>
      </w:hyperlink>
      <w:r w:rsidR="008F0EE1">
        <w:t xml:space="preserve">, </w:t>
      </w:r>
      <w:hyperlink r:id="rId34" w:history="1">
        <w:r w:rsidR="008F0EE1" w:rsidRPr="008F0EE1">
          <w:rPr>
            <w:rStyle w:val="Hyperlink"/>
          </w:rPr>
          <w:t>www.tatesbakeshop.com</w:t>
        </w:r>
      </w:hyperlink>
      <w:r w:rsidR="008F0EE1">
        <w:t xml:space="preserve">, </w:t>
      </w:r>
      <w:hyperlink r:id="rId35" w:history="1">
        <w:r w:rsidR="008F0EE1" w:rsidRPr="008F0EE1">
          <w:rPr>
            <w:rStyle w:val="Hyperlink"/>
          </w:rPr>
          <w:t>www.theworthycrumb.com</w:t>
        </w:r>
      </w:hyperlink>
      <w:r w:rsidR="008F0EE1">
        <w:t xml:space="preserve">, </w:t>
      </w:r>
      <w:hyperlink r:id="rId36" w:history="1">
        <w:r w:rsidR="008F0EE1" w:rsidRPr="008F0EE1">
          <w:rPr>
            <w:rStyle w:val="Hyperlink"/>
          </w:rPr>
          <w:t>www.tridentgum.com</w:t>
        </w:r>
      </w:hyperlink>
      <w:r w:rsidR="008F0EE1">
        <w:t xml:space="preserve">, </w:t>
      </w:r>
      <w:hyperlink r:id="rId37" w:history="1">
        <w:r w:rsidR="008F0EE1" w:rsidRPr="008F0EE1">
          <w:rPr>
            <w:rStyle w:val="Hyperlink"/>
          </w:rPr>
          <w:t>www.triscuit.com</w:t>
        </w:r>
      </w:hyperlink>
      <w:r w:rsidR="008F0EE1">
        <w:t xml:space="preserve">, </w:t>
      </w:r>
      <w:hyperlink r:id="rId38" w:history="1">
        <w:r w:rsidR="008F0EE1" w:rsidRPr="008F0EE1">
          <w:rPr>
            <w:rStyle w:val="Hyperlink"/>
          </w:rPr>
          <w:t>www.unclewallys.com</w:t>
        </w:r>
      </w:hyperlink>
      <w:r w:rsidR="008F0EE1">
        <w:t xml:space="preserve">, </w:t>
      </w:r>
      <w:hyperlink r:id="rId39" w:history="1">
        <w:r w:rsidR="008F0EE1" w:rsidRPr="008F0EE1">
          <w:rPr>
            <w:rStyle w:val="Hyperlink"/>
          </w:rPr>
          <w:t>www.wheatthins.com</w:t>
        </w:r>
      </w:hyperlink>
      <w:bookmarkEnd w:id="1"/>
      <w:r w:rsidR="008F0EE1">
        <w:t xml:space="preserve"> </w:t>
      </w:r>
      <w:bookmarkEnd w:id="2"/>
      <w:r w:rsidR="007D0D97" w:rsidRPr="008F0EE1">
        <w:rPr>
          <w:szCs w:val="24"/>
        </w:rPr>
        <w:t>(the “</w:t>
      </w:r>
      <w:r w:rsidR="003506E4" w:rsidRPr="008F0EE1">
        <w:rPr>
          <w:szCs w:val="24"/>
        </w:rPr>
        <w:t>Digital Platform”)</w:t>
      </w:r>
      <w:r w:rsidR="002864AD" w:rsidRPr="008F0EE1">
        <w:rPr>
          <w:szCs w:val="24"/>
        </w:rPr>
        <w:t>.</w:t>
      </w:r>
    </w:p>
    <w:p w14:paraId="47C6AFEB" w14:textId="33198942" w:rsidR="006B4E4A" w:rsidRPr="006B4E4A" w:rsidRDefault="006B4E4A" w:rsidP="00E36B0E">
      <w:pPr>
        <w:numPr>
          <w:ilvl w:val="0"/>
          <w:numId w:val="1"/>
        </w:numPr>
        <w:tabs>
          <w:tab w:val="clear" w:pos="1440"/>
        </w:tabs>
        <w:spacing w:line="480" w:lineRule="auto"/>
        <w:ind w:left="0" w:firstLine="720"/>
        <w:jc w:val="both"/>
        <w:rPr>
          <w:szCs w:val="24"/>
        </w:rPr>
      </w:pPr>
      <w:r>
        <w:rPr>
          <w:szCs w:val="24"/>
        </w:rPr>
        <w:t>Defendant owns, operates, and/or controls its Digital Platform and is responsible for the policies, practices, and procedures concerning the Digital Platform’s development and maintenance.</w:t>
      </w:r>
    </w:p>
    <w:p w14:paraId="366237D7" w14:textId="08507EC9" w:rsidR="006B4E4A" w:rsidRPr="006B4E4A" w:rsidRDefault="006B4E4A" w:rsidP="004D2AB4">
      <w:pPr>
        <w:keepNext/>
        <w:spacing w:line="480" w:lineRule="auto"/>
        <w:jc w:val="center"/>
        <w:rPr>
          <w:b/>
          <w:bCs/>
          <w:szCs w:val="24"/>
          <w:u w:val="single"/>
        </w:rPr>
      </w:pPr>
      <w:r>
        <w:rPr>
          <w:b/>
          <w:bCs/>
          <w:u w:val="single"/>
        </w:rPr>
        <w:t>STANDING UP FOR TITLE III OF THE ADA</w:t>
      </w:r>
    </w:p>
    <w:p w14:paraId="7C1134C0" w14:textId="77777777" w:rsidR="00405537" w:rsidRDefault="006B4E4A" w:rsidP="00E36B0E">
      <w:pPr>
        <w:pStyle w:val="ListParagraph"/>
        <w:numPr>
          <w:ilvl w:val="0"/>
          <w:numId w:val="1"/>
        </w:numPr>
        <w:tabs>
          <w:tab w:val="clear" w:pos="1440"/>
        </w:tabs>
        <w:spacing w:line="480" w:lineRule="auto"/>
        <w:ind w:left="0" w:firstLine="720"/>
        <w:jc w:val="both"/>
        <w:rPr>
          <w:szCs w:val="24"/>
        </w:rPr>
      </w:pPr>
      <w:r w:rsidRPr="00D0356A">
        <w:rPr>
          <w:szCs w:val="24"/>
        </w:rPr>
        <w:t>“</w:t>
      </w:r>
      <w:r w:rsidR="00EC1A79" w:rsidRPr="00D0356A">
        <w:rPr>
          <w:szCs w:val="24"/>
        </w:rPr>
        <w:t>Congress passed the ADA in 1990 to fix a serious problem</w:t>
      </w:r>
      <w:r w:rsidR="00EC1A79">
        <w:rPr>
          <w:szCs w:val="24"/>
        </w:rPr>
        <w:t>—</w:t>
      </w:r>
      <w:r w:rsidR="00EC1A79" w:rsidRPr="00D0356A">
        <w:rPr>
          <w:szCs w:val="24"/>
        </w:rPr>
        <w:t>namely, the seclusion of people with disabilities resulting in explicit</w:t>
      </w:r>
      <w:r w:rsidR="00EC1A79">
        <w:rPr>
          <w:szCs w:val="24"/>
        </w:rPr>
        <w:t xml:space="preserve"> </w:t>
      </w:r>
      <w:r w:rsidR="00EC1A79" w:rsidRPr="00D0356A">
        <w:rPr>
          <w:szCs w:val="24"/>
        </w:rPr>
        <w:t>and implicit discrimination.</w:t>
      </w:r>
      <w:r w:rsidR="00EC1A79">
        <w:rPr>
          <w:szCs w:val="24"/>
        </w:rPr>
        <w:t>”</w:t>
      </w:r>
      <w:r w:rsidR="00EC1A79">
        <w:rPr>
          <w:rStyle w:val="FootnoteReference"/>
          <w:szCs w:val="24"/>
        </w:rPr>
        <w:footnoteReference w:id="18"/>
      </w:r>
      <w:r w:rsidR="00EC1A79" w:rsidRPr="00D0356A">
        <w:rPr>
          <w:szCs w:val="24"/>
        </w:rPr>
        <w:t xml:space="preserve"> </w:t>
      </w:r>
      <w:r w:rsidR="00EC1A79">
        <w:rPr>
          <w:szCs w:val="24"/>
        </w:rPr>
        <w:t>“</w:t>
      </w:r>
      <w:r w:rsidR="00EC1A79" w:rsidRPr="00D0356A">
        <w:rPr>
          <w:szCs w:val="24"/>
        </w:rPr>
        <w:t>It was called the</w:t>
      </w:r>
      <w:r w:rsidR="00EC1A79">
        <w:rPr>
          <w:szCs w:val="24"/>
        </w:rPr>
        <w:t xml:space="preserve"> ‘</w:t>
      </w:r>
      <w:r w:rsidR="00EC1A79" w:rsidRPr="00D0356A">
        <w:rPr>
          <w:szCs w:val="24"/>
        </w:rPr>
        <w:t>20</w:t>
      </w:r>
      <w:r w:rsidR="00EC1A79" w:rsidRPr="00D0356A">
        <w:rPr>
          <w:szCs w:val="24"/>
          <w:vertAlign w:val="superscript"/>
        </w:rPr>
        <w:t>th</w:t>
      </w:r>
      <w:r w:rsidR="00EC1A79">
        <w:rPr>
          <w:szCs w:val="24"/>
        </w:rPr>
        <w:t xml:space="preserve"> </w:t>
      </w:r>
      <w:r w:rsidR="00EC1A79" w:rsidRPr="00D0356A">
        <w:rPr>
          <w:szCs w:val="24"/>
        </w:rPr>
        <w:t>Century</w:t>
      </w:r>
      <w:r w:rsidR="00EC1A79">
        <w:rPr>
          <w:szCs w:val="24"/>
        </w:rPr>
        <w:t xml:space="preserve"> </w:t>
      </w:r>
      <w:r w:rsidR="00EC1A79" w:rsidRPr="00D0356A">
        <w:rPr>
          <w:szCs w:val="24"/>
        </w:rPr>
        <w:t>Emancipation Proclamation for all persons with disabilities</w:t>
      </w:r>
      <w:r w:rsidR="00EC1A79">
        <w:rPr>
          <w:szCs w:val="24"/>
        </w:rPr>
        <w:t>.’”</w:t>
      </w:r>
      <w:r w:rsidR="00EC1A79">
        <w:rPr>
          <w:rStyle w:val="FootnoteReference"/>
          <w:szCs w:val="24"/>
        </w:rPr>
        <w:footnoteReference w:id="19"/>
      </w:r>
      <w:r w:rsidR="00EC1A79" w:rsidRPr="00D0356A">
        <w:rPr>
          <w:szCs w:val="24"/>
        </w:rPr>
        <w:t xml:space="preserve"> </w:t>
      </w:r>
      <w:r w:rsidR="00EC1A79">
        <w:rPr>
          <w:szCs w:val="24"/>
        </w:rPr>
        <w:t>“</w:t>
      </w:r>
      <w:r w:rsidR="00EC1A79" w:rsidRPr="00D0356A">
        <w:rPr>
          <w:szCs w:val="24"/>
        </w:rPr>
        <w:t>Title</w:t>
      </w:r>
      <w:r w:rsidR="00EC1A79">
        <w:rPr>
          <w:szCs w:val="24"/>
        </w:rPr>
        <w:t xml:space="preserve"> </w:t>
      </w:r>
      <w:r w:rsidR="00EC1A79" w:rsidRPr="00D0356A">
        <w:rPr>
          <w:szCs w:val="24"/>
        </w:rPr>
        <w:t>III of the ADA contained broad language covering numerous public</w:t>
      </w:r>
      <w:r w:rsidR="00EC1A79">
        <w:rPr>
          <w:szCs w:val="24"/>
        </w:rPr>
        <w:t xml:space="preserve"> </w:t>
      </w:r>
      <w:r w:rsidR="00EC1A79" w:rsidRPr="00D0356A">
        <w:rPr>
          <w:szCs w:val="24"/>
        </w:rPr>
        <w:t xml:space="preserve">accommodations; both new construction and </w:t>
      </w:r>
      <w:r w:rsidR="00EC1A79" w:rsidRPr="00D0356A">
        <w:rPr>
          <w:szCs w:val="24"/>
        </w:rPr>
        <w:lastRenderedPageBreak/>
        <w:t>existing facilities were</w:t>
      </w:r>
      <w:r w:rsidR="00EC1A79">
        <w:rPr>
          <w:szCs w:val="24"/>
        </w:rPr>
        <w:t xml:space="preserve"> </w:t>
      </w:r>
      <w:r w:rsidR="00EC1A79" w:rsidRPr="00D0356A">
        <w:rPr>
          <w:szCs w:val="24"/>
        </w:rPr>
        <w:t>required by the statute to remove barriers to access. The disabled</w:t>
      </w:r>
      <w:r w:rsidR="00EC1A79">
        <w:rPr>
          <w:szCs w:val="24"/>
        </w:rPr>
        <w:t xml:space="preserve"> </w:t>
      </w:r>
      <w:r w:rsidR="00EC1A79" w:rsidRPr="00D0356A">
        <w:rPr>
          <w:szCs w:val="24"/>
        </w:rPr>
        <w:t>population hoped that, as a result of the ADA, their lives would no</w:t>
      </w:r>
      <w:r w:rsidR="00EC1A79">
        <w:rPr>
          <w:szCs w:val="24"/>
        </w:rPr>
        <w:t xml:space="preserve"> </w:t>
      </w:r>
      <w:r w:rsidR="00EC1A79" w:rsidRPr="00D0356A">
        <w:rPr>
          <w:szCs w:val="24"/>
        </w:rPr>
        <w:t>longer be shaped by limited access and the inability to choose.</w:t>
      </w:r>
      <w:r w:rsidR="00EC1A79">
        <w:rPr>
          <w:szCs w:val="24"/>
        </w:rPr>
        <w:t>”</w:t>
      </w:r>
      <w:r w:rsidR="00EC1A79">
        <w:rPr>
          <w:rStyle w:val="FootnoteReference"/>
          <w:szCs w:val="24"/>
        </w:rPr>
        <w:footnoteReference w:id="20"/>
      </w:r>
      <w:r w:rsidR="00EC1A79">
        <w:rPr>
          <w:szCs w:val="24"/>
        </w:rPr>
        <w:t xml:space="preserve"> </w:t>
      </w:r>
    </w:p>
    <w:p w14:paraId="2DC7CE37" w14:textId="3F535C85" w:rsidR="006B4E4A" w:rsidRPr="00580D9F" w:rsidRDefault="00EC1A79" w:rsidP="00E36B0E">
      <w:pPr>
        <w:pStyle w:val="ListParagraph"/>
        <w:numPr>
          <w:ilvl w:val="0"/>
          <w:numId w:val="1"/>
        </w:numPr>
        <w:tabs>
          <w:tab w:val="clear" w:pos="1440"/>
        </w:tabs>
        <w:spacing w:line="480" w:lineRule="auto"/>
        <w:ind w:left="0" w:firstLine="720"/>
        <w:jc w:val="both"/>
        <w:rPr>
          <w:szCs w:val="24"/>
        </w:rPr>
      </w:pPr>
      <w:r>
        <w:rPr>
          <w:szCs w:val="24"/>
        </w:rPr>
        <w:t>“</w:t>
      </w:r>
      <w:r w:rsidRPr="00D0356A">
        <w:rPr>
          <w:szCs w:val="24"/>
        </w:rPr>
        <w:t>However, reality</w:t>
      </w:r>
      <w:r>
        <w:rPr>
          <w:szCs w:val="24"/>
        </w:rPr>
        <w:t>—</w:t>
      </w:r>
      <w:r w:rsidRPr="00D0356A">
        <w:rPr>
          <w:szCs w:val="24"/>
        </w:rPr>
        <w:t>a lack of compliance with the ADA and severe</w:t>
      </w:r>
      <w:r>
        <w:rPr>
          <w:szCs w:val="24"/>
        </w:rPr>
        <w:t xml:space="preserve"> </w:t>
      </w:r>
      <w:r w:rsidRPr="00D0356A">
        <w:rPr>
          <w:szCs w:val="24"/>
        </w:rPr>
        <w:t>underenforcement of the statute</w:t>
      </w:r>
      <w:r>
        <w:rPr>
          <w:szCs w:val="24"/>
        </w:rPr>
        <w:t>—</w:t>
      </w:r>
      <w:r w:rsidRPr="00D0356A">
        <w:rPr>
          <w:szCs w:val="24"/>
        </w:rPr>
        <w:t>soon destroyed this hope</w:t>
      </w:r>
      <w:r>
        <w:rPr>
          <w:szCs w:val="24"/>
        </w:rPr>
        <w:t>.”</w:t>
      </w:r>
      <w:r>
        <w:rPr>
          <w:rStyle w:val="FootnoteReference"/>
          <w:szCs w:val="24"/>
        </w:rPr>
        <w:footnoteReference w:id="21"/>
      </w:r>
    </w:p>
    <w:p w14:paraId="653ED8D6" w14:textId="65099502" w:rsidR="006B4E4A" w:rsidRDefault="006B4E4A" w:rsidP="00E36B0E">
      <w:pPr>
        <w:pStyle w:val="ListParagraph"/>
        <w:numPr>
          <w:ilvl w:val="0"/>
          <w:numId w:val="1"/>
        </w:numPr>
        <w:tabs>
          <w:tab w:val="clear" w:pos="1440"/>
        </w:tabs>
        <w:spacing w:line="480" w:lineRule="auto"/>
        <w:ind w:left="0" w:firstLine="720"/>
        <w:jc w:val="both"/>
        <w:rPr>
          <w:szCs w:val="24"/>
        </w:rPr>
      </w:pPr>
      <w:r w:rsidRPr="00580D9F">
        <w:rPr>
          <w:szCs w:val="24"/>
        </w:rPr>
        <w:t>Thirty years “after the passage of the ADA, numerous facilities are still not compliant leaving the disabled population in a second</w:t>
      </w:r>
      <w:r>
        <w:rPr>
          <w:szCs w:val="24"/>
        </w:rPr>
        <w:t>-</w:t>
      </w:r>
      <w:r w:rsidRPr="00580D9F">
        <w:rPr>
          <w:szCs w:val="24"/>
        </w:rPr>
        <w:t>class</w:t>
      </w:r>
      <w:r>
        <w:rPr>
          <w:szCs w:val="24"/>
        </w:rPr>
        <w:t xml:space="preserve"> </w:t>
      </w:r>
      <w:r w:rsidRPr="00580D9F">
        <w:rPr>
          <w:szCs w:val="24"/>
        </w:rPr>
        <w:t>citizenship limbo. Title III of the ADA allows both the U.S.</w:t>
      </w:r>
      <w:r>
        <w:rPr>
          <w:szCs w:val="24"/>
        </w:rPr>
        <w:t xml:space="preserve"> </w:t>
      </w:r>
      <w:r w:rsidRPr="00580D9F">
        <w:rPr>
          <w:szCs w:val="24"/>
        </w:rPr>
        <w:t>Attorney General</w:t>
      </w:r>
      <w:r>
        <w:rPr>
          <w:rStyle w:val="FootnoteReference"/>
          <w:szCs w:val="24"/>
        </w:rPr>
        <w:footnoteReference w:id="22"/>
      </w:r>
      <w:r w:rsidRPr="00580D9F">
        <w:rPr>
          <w:szCs w:val="24"/>
        </w:rPr>
        <w:t xml:space="preserve"> and private individuals</w:t>
      </w:r>
      <w:r>
        <w:rPr>
          <w:rStyle w:val="FootnoteReference"/>
          <w:szCs w:val="24"/>
        </w:rPr>
        <w:footnoteReference w:id="23"/>
      </w:r>
      <w:r w:rsidRPr="00580D9F">
        <w:rPr>
          <w:szCs w:val="24"/>
        </w:rPr>
        <w:t xml:space="preserve"> to sue, but the rate at</w:t>
      </w:r>
      <w:r>
        <w:rPr>
          <w:szCs w:val="24"/>
        </w:rPr>
        <w:t xml:space="preserve"> </w:t>
      </w:r>
      <w:r w:rsidRPr="00580D9F">
        <w:rPr>
          <w:szCs w:val="24"/>
        </w:rPr>
        <w:t xml:space="preserve">which </w:t>
      </w:r>
      <w:r>
        <w:rPr>
          <w:szCs w:val="24"/>
        </w:rPr>
        <w:t>[ ]</w:t>
      </w:r>
      <w:r w:rsidRPr="00580D9F">
        <w:rPr>
          <w:szCs w:val="24"/>
        </w:rPr>
        <w:t xml:space="preserve"> the Attorney General </w:t>
      </w:r>
      <w:r>
        <w:rPr>
          <w:szCs w:val="24"/>
        </w:rPr>
        <w:t>[is]</w:t>
      </w:r>
      <w:r w:rsidRPr="00580D9F">
        <w:rPr>
          <w:szCs w:val="24"/>
        </w:rPr>
        <w:t xml:space="preserve"> bringing suit</w:t>
      </w:r>
      <w:r>
        <w:rPr>
          <w:szCs w:val="24"/>
        </w:rPr>
        <w:t xml:space="preserve"> </w:t>
      </w:r>
      <w:r w:rsidRPr="00580D9F">
        <w:rPr>
          <w:szCs w:val="24"/>
        </w:rPr>
        <w:t>seeking compliance is extremely low. The Department of Justice</w:t>
      </w:r>
      <w:r w:rsidR="00E37C4F">
        <w:rPr>
          <w:szCs w:val="24"/>
        </w:rPr>
        <w:t>’</w:t>
      </w:r>
      <w:r w:rsidRPr="00580D9F">
        <w:rPr>
          <w:szCs w:val="24"/>
        </w:rPr>
        <w:t>s</w:t>
      </w:r>
      <w:r>
        <w:rPr>
          <w:szCs w:val="24"/>
        </w:rPr>
        <w:t xml:space="preserve"> </w:t>
      </w:r>
      <w:r w:rsidRPr="00580D9F">
        <w:rPr>
          <w:szCs w:val="24"/>
        </w:rPr>
        <w:t>Disability Section, tasked with ADA enforcement, is understaffed</w:t>
      </w:r>
      <w:r w:rsidR="00741C5A">
        <w:rPr>
          <w:szCs w:val="24"/>
        </w:rPr>
        <w:t>[.]</w:t>
      </w:r>
      <w:r w:rsidR="00E37C4F">
        <w:rPr>
          <w:szCs w:val="24"/>
        </w:rPr>
        <w:t>”</w:t>
      </w:r>
      <w:r w:rsidR="00EC1A79">
        <w:rPr>
          <w:rStyle w:val="FootnoteReference"/>
          <w:szCs w:val="24"/>
        </w:rPr>
        <w:footnoteReference w:id="24"/>
      </w:r>
    </w:p>
    <w:p w14:paraId="0DCC50C8" w14:textId="7D5C2005" w:rsidR="00022598" w:rsidRDefault="00022598" w:rsidP="00E36B0E">
      <w:pPr>
        <w:numPr>
          <w:ilvl w:val="0"/>
          <w:numId w:val="1"/>
        </w:numPr>
        <w:tabs>
          <w:tab w:val="clear" w:pos="1440"/>
        </w:tabs>
        <w:spacing w:line="480" w:lineRule="auto"/>
        <w:ind w:left="0" w:firstLine="720"/>
        <w:jc w:val="both"/>
        <w:rPr>
          <w:szCs w:val="24"/>
        </w:rPr>
      </w:pPr>
      <w:r>
        <w:rPr>
          <w:szCs w:val="24"/>
        </w:rPr>
        <w:t xml:space="preserve">Thus, “private suits by necessity represent the </w:t>
      </w:r>
      <w:r w:rsidRPr="00D818A2">
        <w:rPr>
          <w:szCs w:val="24"/>
        </w:rPr>
        <w:t>main tool</w:t>
      </w:r>
      <w:r>
        <w:rPr>
          <w:szCs w:val="24"/>
        </w:rPr>
        <w:t xml:space="preserve"> for ensuring compliance with Congress’ intent in passing the ADA</w:t>
      </w:r>
      <w:r w:rsidR="00844758">
        <w:rPr>
          <w:szCs w:val="24"/>
        </w:rPr>
        <w:t>,”</w:t>
      </w:r>
      <w:r w:rsidR="00741C5A">
        <w:rPr>
          <w:rStyle w:val="FootnoteReference"/>
          <w:szCs w:val="24"/>
        </w:rPr>
        <w:footnoteReference w:id="25"/>
      </w:r>
      <w:r w:rsidR="00741C5A">
        <w:rPr>
          <w:szCs w:val="24"/>
        </w:rPr>
        <w:t xml:space="preserve"> </w:t>
      </w:r>
      <w:r w:rsidR="00844758">
        <w:rPr>
          <w:szCs w:val="24"/>
        </w:rPr>
        <w:t>most of which</w:t>
      </w:r>
      <w:r w:rsidR="00FC50BA">
        <w:rPr>
          <w:szCs w:val="24"/>
        </w:rPr>
        <w:t xml:space="preserve"> suits</w:t>
      </w:r>
      <w:r w:rsidR="00844758">
        <w:rPr>
          <w:szCs w:val="24"/>
        </w:rPr>
        <w:t xml:space="preserve"> “are brought by a small number of private plaintiffs who view themselves as champions of the disabled.”</w:t>
      </w:r>
      <w:r w:rsidR="00844758">
        <w:rPr>
          <w:rStyle w:val="FootnoteReference"/>
          <w:szCs w:val="24"/>
        </w:rPr>
        <w:footnoteReference w:id="26"/>
      </w:r>
    </w:p>
    <w:p w14:paraId="6F32625E" w14:textId="2F675C6B" w:rsidR="00844758" w:rsidRDefault="00844758" w:rsidP="00E36B0E">
      <w:pPr>
        <w:numPr>
          <w:ilvl w:val="0"/>
          <w:numId w:val="1"/>
        </w:numPr>
        <w:tabs>
          <w:tab w:val="clear" w:pos="1440"/>
        </w:tabs>
        <w:spacing w:line="480" w:lineRule="auto"/>
        <w:ind w:left="0" w:firstLine="720"/>
        <w:jc w:val="both"/>
        <w:rPr>
          <w:szCs w:val="24"/>
        </w:rPr>
      </w:pPr>
      <w:bookmarkStart w:id="3" w:name="_Hlk38615320"/>
      <w:r>
        <w:rPr>
          <w:szCs w:val="24"/>
        </w:rPr>
        <w:lastRenderedPageBreak/>
        <w:t>DOJ supports this dynamic</w:t>
      </w:r>
      <w:r w:rsidR="00C81CF6">
        <w:rPr>
          <w:szCs w:val="24"/>
        </w:rPr>
        <w:t xml:space="preserve">, recognizing that because it </w:t>
      </w:r>
      <w:r>
        <w:rPr>
          <w:szCs w:val="24"/>
        </w:rPr>
        <w:t>“cannot investigate every place of public accommodation” for ADA compliance</w:t>
      </w:r>
      <w:bookmarkEnd w:id="3"/>
      <w:r>
        <w:rPr>
          <w:szCs w:val="24"/>
        </w:rPr>
        <w:t>, “[p]</w:t>
      </w:r>
      <w:proofErr w:type="spellStart"/>
      <w:r>
        <w:rPr>
          <w:szCs w:val="24"/>
        </w:rPr>
        <w:t>rivate</w:t>
      </w:r>
      <w:proofErr w:type="spellEnd"/>
      <w:r>
        <w:rPr>
          <w:szCs w:val="24"/>
        </w:rPr>
        <w:t xml:space="preserve"> plaintiffs play an important role in enforcing the ADA[.]”</w:t>
      </w:r>
      <w:r>
        <w:rPr>
          <w:rStyle w:val="FootnoteReference"/>
          <w:szCs w:val="24"/>
        </w:rPr>
        <w:footnoteReference w:id="27"/>
      </w:r>
      <w:r>
        <w:rPr>
          <w:szCs w:val="24"/>
        </w:rPr>
        <w:t xml:space="preserve"> </w:t>
      </w:r>
    </w:p>
    <w:p w14:paraId="5B663898" w14:textId="56B949D9" w:rsidR="00563AD0" w:rsidRDefault="0068183B" w:rsidP="00E36B0E">
      <w:pPr>
        <w:numPr>
          <w:ilvl w:val="0"/>
          <w:numId w:val="1"/>
        </w:numPr>
        <w:tabs>
          <w:tab w:val="clear" w:pos="1440"/>
        </w:tabs>
        <w:spacing w:line="480" w:lineRule="auto"/>
        <w:ind w:left="0" w:firstLine="720"/>
        <w:jc w:val="both"/>
        <w:rPr>
          <w:szCs w:val="24"/>
        </w:rPr>
      </w:pPr>
      <w:r>
        <w:rPr>
          <w:szCs w:val="24"/>
        </w:rPr>
        <w:t>Courts recognize this dynamic too</w:t>
      </w:r>
      <w:r w:rsidR="00563AD0">
        <w:rPr>
          <w:szCs w:val="24"/>
        </w:rPr>
        <w:t>.</w:t>
      </w:r>
    </w:p>
    <w:p w14:paraId="30EE74E1" w14:textId="1FD09098" w:rsidR="00563AD0" w:rsidRPr="00563AD0" w:rsidRDefault="00563AD0" w:rsidP="00E36B0E">
      <w:pPr>
        <w:spacing w:after="240" w:line="276" w:lineRule="auto"/>
        <w:ind w:left="720" w:right="720"/>
        <w:jc w:val="both"/>
        <w:rPr>
          <w:szCs w:val="24"/>
        </w:rPr>
      </w:pPr>
      <w:r w:rsidRPr="00563AD0">
        <w:rPr>
          <w:szCs w:val="24"/>
        </w:rPr>
        <w:t xml:space="preserve">[Defendant] also points to the number of cases filed by the same plaintiff in this jurisdiction. Counsel have filed nine cases in this jurisdiction on behalf of [the plaintiff]. I am not impressed by this argument. If the ADA were enforced directly by the government, as are, for example, the fair housing laws, it is likely that government lawyers would have reached out to disabled individuals — </w:t>
      </w:r>
      <w:r w:rsidR="00A4666E">
        <w:rPr>
          <w:szCs w:val="24"/>
        </w:rPr>
        <w:t>“</w:t>
      </w:r>
      <w:r w:rsidRPr="00563AD0">
        <w:rPr>
          <w:szCs w:val="24"/>
        </w:rPr>
        <w:t>testers</w:t>
      </w:r>
      <w:r w:rsidR="00A4666E">
        <w:rPr>
          <w:szCs w:val="24"/>
        </w:rPr>
        <w:t>”</w:t>
      </w:r>
      <w:r w:rsidRPr="00563AD0">
        <w:rPr>
          <w:szCs w:val="24"/>
        </w:rPr>
        <w:t xml:space="preserve"> as they are called — to find out which businesses were complying and which were not. [The named plaintiff] has functioned here as a </w:t>
      </w:r>
      <w:r w:rsidR="00A4666E">
        <w:rPr>
          <w:szCs w:val="24"/>
        </w:rPr>
        <w:t>“</w:t>
      </w:r>
      <w:r w:rsidRPr="00563AD0">
        <w:rPr>
          <w:szCs w:val="24"/>
        </w:rPr>
        <w:t>tester,</w:t>
      </w:r>
      <w:r w:rsidR="00A4666E">
        <w:rPr>
          <w:szCs w:val="24"/>
        </w:rPr>
        <w:t>”</w:t>
      </w:r>
      <w:r w:rsidRPr="00563AD0">
        <w:rPr>
          <w:szCs w:val="24"/>
        </w:rPr>
        <w:t xml:space="preserve"> which is entirely appropriate.</w:t>
      </w:r>
      <w:r w:rsidR="00EE3DBC">
        <w:rPr>
          <w:rStyle w:val="FootnoteReference"/>
          <w:szCs w:val="24"/>
        </w:rPr>
        <w:footnoteReference w:id="28"/>
      </w:r>
    </w:p>
    <w:p w14:paraId="60BC9E33" w14:textId="360D7D2D" w:rsidR="00EC67F3" w:rsidRPr="007E3E04" w:rsidRDefault="006E0615" w:rsidP="00E36B0E">
      <w:pPr>
        <w:numPr>
          <w:ilvl w:val="0"/>
          <w:numId w:val="1"/>
        </w:numPr>
        <w:tabs>
          <w:tab w:val="clear" w:pos="1440"/>
        </w:tabs>
        <w:spacing w:line="480" w:lineRule="auto"/>
        <w:ind w:left="0" w:firstLine="720"/>
        <w:jc w:val="both"/>
        <w:rPr>
          <w:szCs w:val="24"/>
        </w:rPr>
      </w:pPr>
      <w:r>
        <w:rPr>
          <w:szCs w:val="24"/>
        </w:rPr>
        <w:t xml:space="preserve">Consistent with the policies summarized above, Douglass assumes the role of private attorney general to ensure </w:t>
      </w:r>
      <w:r w:rsidR="008B4CD4">
        <w:rPr>
          <w:szCs w:val="24"/>
        </w:rPr>
        <w:t xml:space="preserve">Defendant communicates effectively with him </w:t>
      </w:r>
      <w:r>
        <w:rPr>
          <w:szCs w:val="24"/>
        </w:rPr>
        <w:t xml:space="preserve">and </w:t>
      </w:r>
      <w:r w:rsidR="008B4CD4">
        <w:rPr>
          <w:szCs w:val="24"/>
        </w:rPr>
        <w:t xml:space="preserve">other </w:t>
      </w:r>
      <w:r>
        <w:rPr>
          <w:szCs w:val="24"/>
        </w:rPr>
        <w:t xml:space="preserve">consumers </w:t>
      </w:r>
      <w:r w:rsidR="009333EB">
        <w:rPr>
          <w:szCs w:val="24"/>
        </w:rPr>
        <w:t>who demand full and equal screen reader</w:t>
      </w:r>
      <w:r>
        <w:rPr>
          <w:szCs w:val="24"/>
        </w:rPr>
        <w:t xml:space="preserve"> access </w:t>
      </w:r>
      <w:r w:rsidR="009333EB">
        <w:rPr>
          <w:szCs w:val="24"/>
        </w:rPr>
        <w:t xml:space="preserve">to </w:t>
      </w:r>
      <w:r>
        <w:rPr>
          <w:szCs w:val="24"/>
        </w:rPr>
        <w:t>Defendant’s digital services</w:t>
      </w:r>
      <w:r w:rsidR="006B4E4A">
        <w:rPr>
          <w:szCs w:val="24"/>
        </w:rPr>
        <w:t>.</w:t>
      </w:r>
    </w:p>
    <w:p w14:paraId="023FE903" w14:textId="0FB653E1" w:rsidR="006B4E4A" w:rsidRPr="006B4E4A" w:rsidRDefault="006B4E4A" w:rsidP="006B4E4A">
      <w:pPr>
        <w:spacing w:line="480" w:lineRule="auto"/>
        <w:jc w:val="center"/>
        <w:rPr>
          <w:b/>
          <w:bCs/>
          <w:szCs w:val="24"/>
          <w:u w:val="single"/>
        </w:rPr>
      </w:pPr>
      <w:r>
        <w:rPr>
          <w:b/>
          <w:bCs/>
          <w:szCs w:val="24"/>
          <w:u w:val="single"/>
        </w:rPr>
        <w:t>SUBSTANTIVE ALLEGATIONS</w:t>
      </w:r>
    </w:p>
    <w:p w14:paraId="4BF4D074" w14:textId="77777777" w:rsidR="006B4E4A" w:rsidRDefault="006B4E4A" w:rsidP="00E36B0E">
      <w:pPr>
        <w:pStyle w:val="ListParagraph"/>
        <w:numPr>
          <w:ilvl w:val="0"/>
          <w:numId w:val="1"/>
        </w:numPr>
        <w:tabs>
          <w:tab w:val="clear" w:pos="1440"/>
        </w:tabs>
        <w:spacing w:line="480" w:lineRule="auto"/>
        <w:ind w:left="0" w:firstLine="720"/>
        <w:jc w:val="both"/>
        <w:rPr>
          <w:szCs w:val="24"/>
        </w:rPr>
      </w:pPr>
      <w:r>
        <w:rPr>
          <w:szCs w:val="24"/>
        </w:rPr>
        <w:t>T</w:t>
      </w:r>
      <w:r w:rsidRPr="00573125">
        <w:rPr>
          <w:szCs w:val="24"/>
        </w:rPr>
        <w:t xml:space="preserve">he </w:t>
      </w:r>
      <w:r>
        <w:rPr>
          <w:szCs w:val="24"/>
        </w:rPr>
        <w:t>i</w:t>
      </w:r>
      <w:r w:rsidRPr="00573125">
        <w:rPr>
          <w:szCs w:val="24"/>
        </w:rPr>
        <w:t>nternet is a significant source of information, services, and transactions with instant and 24/7 availability and without the need to travel to attain them.</w:t>
      </w:r>
    </w:p>
    <w:p w14:paraId="09EDDD4B" w14:textId="564953A3" w:rsidR="006B4E4A" w:rsidRDefault="009D23FA" w:rsidP="00E36B0E">
      <w:pPr>
        <w:pStyle w:val="ListParagraph"/>
        <w:numPr>
          <w:ilvl w:val="0"/>
          <w:numId w:val="1"/>
        </w:numPr>
        <w:tabs>
          <w:tab w:val="clear" w:pos="1440"/>
        </w:tabs>
        <w:spacing w:line="480" w:lineRule="auto"/>
        <w:ind w:left="0" w:firstLine="720"/>
        <w:jc w:val="both"/>
        <w:rPr>
          <w:szCs w:val="24"/>
        </w:rPr>
      </w:pPr>
      <w:r>
        <w:rPr>
          <w:szCs w:val="24"/>
        </w:rPr>
        <w:t>Individuals</w:t>
      </w:r>
      <w:r w:rsidR="006B4E4A" w:rsidRPr="00573125">
        <w:rPr>
          <w:szCs w:val="24"/>
        </w:rPr>
        <w:t xml:space="preserve"> who are blind access the </w:t>
      </w:r>
      <w:r w:rsidR="006B4E4A">
        <w:rPr>
          <w:szCs w:val="24"/>
        </w:rPr>
        <w:t>i</w:t>
      </w:r>
      <w:r w:rsidR="006B4E4A" w:rsidRPr="00573125">
        <w:rPr>
          <w:szCs w:val="24"/>
        </w:rPr>
        <w:t xml:space="preserve">nternet and mobile applications from </w:t>
      </w:r>
      <w:r w:rsidR="006B4E4A">
        <w:rPr>
          <w:szCs w:val="24"/>
        </w:rPr>
        <w:t xml:space="preserve">smartphones </w:t>
      </w:r>
      <w:r w:rsidR="006B4E4A" w:rsidRPr="00573125">
        <w:rPr>
          <w:szCs w:val="24"/>
        </w:rPr>
        <w:t xml:space="preserve">and/or personal computers by using keyboard controls and screen access software, </w:t>
      </w:r>
      <w:r w:rsidR="006B4E4A" w:rsidRPr="00573125">
        <w:rPr>
          <w:szCs w:val="24"/>
        </w:rPr>
        <w:lastRenderedPageBreak/>
        <w:t xml:space="preserve">which vocalizes information presented visually on a computer screen or displays that information on a user-provided refreshable braille display. Such software provides the only method by which blind </w:t>
      </w:r>
      <w:r>
        <w:rPr>
          <w:szCs w:val="24"/>
        </w:rPr>
        <w:t>individuals</w:t>
      </w:r>
      <w:r w:rsidR="006B4E4A" w:rsidRPr="00573125">
        <w:rPr>
          <w:szCs w:val="24"/>
        </w:rPr>
        <w:t xml:space="preserve"> can independently access </w:t>
      </w:r>
      <w:r>
        <w:rPr>
          <w:szCs w:val="24"/>
        </w:rPr>
        <w:t>digital information and content</w:t>
      </w:r>
      <w:r w:rsidR="006B4E4A" w:rsidRPr="00573125">
        <w:rPr>
          <w:szCs w:val="24"/>
        </w:rPr>
        <w:t xml:space="preserve">. When websites and applications are not designed to allow for use with screen access software, blind </w:t>
      </w:r>
      <w:r>
        <w:rPr>
          <w:szCs w:val="24"/>
        </w:rPr>
        <w:t>individuals</w:t>
      </w:r>
      <w:r w:rsidR="006B4E4A" w:rsidRPr="00573125">
        <w:rPr>
          <w:szCs w:val="24"/>
        </w:rPr>
        <w:t xml:space="preserve"> are unable to access the information, products, and services offered through the </w:t>
      </w:r>
      <w:r w:rsidR="006B4E4A">
        <w:rPr>
          <w:szCs w:val="24"/>
        </w:rPr>
        <w:t>i</w:t>
      </w:r>
      <w:r w:rsidR="006B4E4A" w:rsidRPr="00573125">
        <w:rPr>
          <w:szCs w:val="24"/>
        </w:rPr>
        <w:t>nternet.</w:t>
      </w:r>
    </w:p>
    <w:p w14:paraId="2D5C0F27" w14:textId="561A826F" w:rsidR="00EC1A79" w:rsidRPr="00EC67F3" w:rsidRDefault="006B4E4A" w:rsidP="00E36B0E">
      <w:pPr>
        <w:numPr>
          <w:ilvl w:val="0"/>
          <w:numId w:val="1"/>
        </w:numPr>
        <w:tabs>
          <w:tab w:val="clear" w:pos="1440"/>
        </w:tabs>
        <w:spacing w:line="480" w:lineRule="auto"/>
        <w:ind w:left="0" w:firstLine="720"/>
        <w:jc w:val="both"/>
        <w:rPr>
          <w:szCs w:val="24"/>
        </w:rPr>
      </w:pPr>
      <w:r>
        <w:t>Screen access technology has existed for decades</w:t>
      </w:r>
      <w:r>
        <w:rPr>
          <w:rStyle w:val="FootnoteReference"/>
        </w:rPr>
        <w:footnoteReference w:id="29"/>
      </w:r>
      <w:r>
        <w:t xml:space="preserve"> and widely-accepted standards exist to guide entities in making their websites and apps accessible to screen access software, including legal standards under Section 508 of the Rehabilitation Act</w:t>
      </w:r>
      <w:r>
        <w:rPr>
          <w:szCs w:val="24"/>
        </w:rPr>
        <w:t>.</w:t>
      </w:r>
      <w:r w:rsidR="004C7881">
        <w:rPr>
          <w:szCs w:val="24"/>
        </w:rPr>
        <w:t xml:space="preserve"> </w:t>
      </w:r>
      <w:bookmarkStart w:id="4" w:name="_Hlk39233880"/>
      <w:r w:rsidR="004C7881">
        <w:rPr>
          <w:szCs w:val="24"/>
        </w:rPr>
        <w:t>The U.S. Department of Health &amp; Human Services maintains Best Practices for Accessible Content to ensure that accessibility is “considered throughout the [website] development process.”</w:t>
      </w:r>
      <w:r w:rsidR="004C7881">
        <w:rPr>
          <w:rStyle w:val="FootnoteReference"/>
          <w:szCs w:val="24"/>
        </w:rPr>
        <w:footnoteReference w:id="30"/>
      </w:r>
      <w:bookmarkEnd w:id="4"/>
      <w:r w:rsidR="00095B75">
        <w:rPr>
          <w:szCs w:val="24"/>
        </w:rPr>
        <w:t xml:space="preserve"> The Commonwealth of Pennsylvania has maintained an Information Technology Accessibility Policy since March 16, 2006</w:t>
      </w:r>
      <w:r w:rsidR="0068183B">
        <w:rPr>
          <w:szCs w:val="24"/>
        </w:rPr>
        <w:t>,</w:t>
      </w:r>
      <w:r w:rsidR="00095B75">
        <w:rPr>
          <w:rStyle w:val="FootnoteReference"/>
          <w:szCs w:val="24"/>
        </w:rPr>
        <w:footnoteReference w:id="31"/>
      </w:r>
      <w:r w:rsidR="00095B75">
        <w:rPr>
          <w:szCs w:val="24"/>
        </w:rPr>
        <w:t xml:space="preserve"> and </w:t>
      </w:r>
      <w:r w:rsidR="00745207">
        <w:rPr>
          <w:szCs w:val="24"/>
        </w:rPr>
        <w:t xml:space="preserve">a </w:t>
      </w:r>
      <w:r w:rsidR="004532C2">
        <w:rPr>
          <w:szCs w:val="24"/>
        </w:rPr>
        <w:t xml:space="preserve">separate </w:t>
      </w:r>
      <w:r w:rsidR="00745207">
        <w:rPr>
          <w:szCs w:val="24"/>
        </w:rPr>
        <w:t>Accessibility Policy that recognizes “[a]</w:t>
      </w:r>
      <w:proofErr w:type="spellStart"/>
      <w:r w:rsidR="00745207">
        <w:rPr>
          <w:szCs w:val="24"/>
        </w:rPr>
        <w:t>ccessible</w:t>
      </w:r>
      <w:proofErr w:type="spellEnd"/>
      <w:r w:rsidR="00745207">
        <w:rPr>
          <w:szCs w:val="24"/>
        </w:rPr>
        <w:t xml:space="preserve"> websites ensure that as many people as possible can use internet-based information and services, regardless of disability or functional limitation.”</w:t>
      </w:r>
      <w:r w:rsidR="00745207">
        <w:rPr>
          <w:rStyle w:val="FootnoteReference"/>
          <w:szCs w:val="24"/>
        </w:rPr>
        <w:footnoteReference w:id="32"/>
      </w:r>
    </w:p>
    <w:p w14:paraId="1BCA3095" w14:textId="47398497" w:rsidR="006B4E4A" w:rsidRPr="006B4E4A" w:rsidRDefault="006B4E4A" w:rsidP="004D2AB4">
      <w:pPr>
        <w:keepNext/>
        <w:spacing w:line="480" w:lineRule="auto"/>
        <w:jc w:val="center"/>
        <w:rPr>
          <w:b/>
          <w:bCs/>
          <w:szCs w:val="24"/>
        </w:rPr>
      </w:pPr>
      <w:r>
        <w:rPr>
          <w:b/>
          <w:bCs/>
          <w:szCs w:val="24"/>
        </w:rPr>
        <w:lastRenderedPageBreak/>
        <w:t xml:space="preserve">Defendant’s </w:t>
      </w:r>
      <w:r w:rsidR="00DB0BA4">
        <w:rPr>
          <w:b/>
          <w:bCs/>
          <w:szCs w:val="24"/>
        </w:rPr>
        <w:t>Inaccessible Digital Platform</w:t>
      </w:r>
    </w:p>
    <w:p w14:paraId="1067AE9E" w14:textId="1B3F493D" w:rsidR="00DB0BA4" w:rsidRDefault="00DB0BA4" w:rsidP="00E36B0E">
      <w:pPr>
        <w:pStyle w:val="ListParagraph"/>
        <w:numPr>
          <w:ilvl w:val="0"/>
          <w:numId w:val="1"/>
        </w:numPr>
        <w:tabs>
          <w:tab w:val="clear" w:pos="1440"/>
        </w:tabs>
        <w:spacing w:line="480" w:lineRule="auto"/>
        <w:ind w:left="0" w:firstLine="720"/>
        <w:jc w:val="both"/>
      </w:pPr>
      <w:bookmarkStart w:id="5" w:name="_Hlk36613540"/>
      <w:r>
        <w:t xml:space="preserve">Defendant owns, operates, developed, procured, maintains and/or uses the Digital Platform for the purpose of </w:t>
      </w:r>
      <w:r w:rsidR="004532C2">
        <w:t>communicating information about its products and services to</w:t>
      </w:r>
      <w:r>
        <w:t xml:space="preserve"> consumers through computers, smartphones, and other mobile devices.</w:t>
      </w:r>
    </w:p>
    <w:p w14:paraId="74A29E24" w14:textId="0BD3309D" w:rsidR="00DB0BA4" w:rsidRDefault="00DB0BA4" w:rsidP="00E36B0E">
      <w:pPr>
        <w:pStyle w:val="ListParagraph"/>
        <w:numPr>
          <w:ilvl w:val="0"/>
          <w:numId w:val="1"/>
        </w:numPr>
        <w:tabs>
          <w:tab w:val="clear" w:pos="1440"/>
        </w:tabs>
        <w:spacing w:line="480" w:lineRule="auto"/>
        <w:ind w:left="0" w:firstLine="720"/>
        <w:jc w:val="both"/>
      </w:pPr>
      <w:r>
        <w:t xml:space="preserve">Defendant is required to ensure that its Digital Platform </w:t>
      </w:r>
      <w:r w:rsidR="004532C2">
        <w:t>communicates information about its products and services effectively</w:t>
      </w:r>
      <w:r>
        <w:t xml:space="preserve"> to people with disabilities. Despite this obligation, Defendant </w:t>
      </w:r>
      <w:r w:rsidR="004532C2">
        <w:t>fails to communicate this information effectively to</w:t>
      </w:r>
      <w:r>
        <w:t xml:space="preserve"> individuals who are blind </w:t>
      </w:r>
      <w:r w:rsidR="004532C2">
        <w:t>because the Digital Platform is not compatible with screen reader auxiliary aids</w:t>
      </w:r>
      <w:r>
        <w:t>.</w:t>
      </w:r>
    </w:p>
    <w:p w14:paraId="1D99B481" w14:textId="4B5025B5" w:rsidR="00DB0BA4" w:rsidRDefault="00B3008D" w:rsidP="00E36B0E">
      <w:pPr>
        <w:pStyle w:val="ListParagraph"/>
        <w:numPr>
          <w:ilvl w:val="0"/>
          <w:numId w:val="1"/>
        </w:numPr>
        <w:tabs>
          <w:tab w:val="clear" w:pos="1440"/>
        </w:tabs>
        <w:spacing w:line="480" w:lineRule="auto"/>
        <w:ind w:left="0" w:firstLine="720"/>
        <w:jc w:val="both"/>
      </w:pPr>
      <w:r>
        <w:t xml:space="preserve">Specifically, </w:t>
      </w:r>
      <w:r w:rsidR="00D818A2">
        <w:t>Douglass</w:t>
      </w:r>
      <w:r w:rsidR="00DB0BA4">
        <w:t xml:space="preserve"> attempted to access </w:t>
      </w:r>
      <w:r>
        <w:t xml:space="preserve">Defendant’s </w:t>
      </w:r>
      <w:r w:rsidR="00DB0BA4">
        <w:t>Digital Platform fro</w:t>
      </w:r>
      <w:r w:rsidR="00DB0BA4" w:rsidRPr="00924561">
        <w:t xml:space="preserve">m </w:t>
      </w:r>
      <w:r w:rsidR="003B5B47">
        <w:t>Pittsburgh, Pennsylvania</w:t>
      </w:r>
      <w:r w:rsidR="002A0814">
        <w:t xml:space="preserve"> </w:t>
      </w:r>
      <w:r>
        <w:t xml:space="preserve">using </w:t>
      </w:r>
      <w:r w:rsidR="003B5B47">
        <w:t>JAWS 2020 from Freedom Scientific</w:t>
      </w:r>
      <w:r w:rsidR="00DB0BA4">
        <w:t>.</w:t>
      </w:r>
      <w:bookmarkEnd w:id="5"/>
    </w:p>
    <w:p w14:paraId="065040A4" w14:textId="0E099D23" w:rsidR="009A1F75" w:rsidRDefault="009A1F75" w:rsidP="00E36B0E">
      <w:pPr>
        <w:pStyle w:val="ListParagraph"/>
        <w:numPr>
          <w:ilvl w:val="0"/>
          <w:numId w:val="1"/>
        </w:numPr>
        <w:tabs>
          <w:tab w:val="clear" w:pos="1440"/>
        </w:tabs>
        <w:spacing w:line="480" w:lineRule="auto"/>
        <w:ind w:left="0" w:firstLine="720"/>
        <w:jc w:val="both"/>
      </w:pPr>
      <w:r>
        <w:t>“</w:t>
      </w:r>
      <w:r w:rsidRPr="00DB4902">
        <w:t>JAWS, Job Access </w:t>
      </w:r>
      <w:proofErr w:type="gramStart"/>
      <w:r w:rsidRPr="00DB4902">
        <w:t>With</w:t>
      </w:r>
      <w:proofErr w:type="gramEnd"/>
      <w:r w:rsidRPr="00DB4902">
        <w:t> Speech, is the world’s most popular screen reader, developed for computer users whose vision loss prevents them from seeing screen content or navigating with a mouse. JAWS provides speech and Braille output for the most popular computer applications on your PC. You will be able to navigate the Internet, write a document, read an email and create presentations from your office, remote desktop, or from home.</w:t>
      </w:r>
      <w:r>
        <w:t>”</w:t>
      </w:r>
      <w:r>
        <w:rPr>
          <w:rStyle w:val="FootnoteReference"/>
        </w:rPr>
        <w:footnoteReference w:id="33"/>
      </w:r>
    </w:p>
    <w:p w14:paraId="2CAE8238" w14:textId="09E59308" w:rsidR="00DB0BA4" w:rsidRDefault="00405537" w:rsidP="00577D85">
      <w:pPr>
        <w:pStyle w:val="ListParagraph"/>
        <w:numPr>
          <w:ilvl w:val="0"/>
          <w:numId w:val="1"/>
        </w:numPr>
        <w:tabs>
          <w:tab w:val="clear" w:pos="1440"/>
        </w:tabs>
        <w:spacing w:line="480" w:lineRule="auto"/>
        <w:ind w:left="0" w:firstLine="720"/>
        <w:jc w:val="both"/>
        <w:rPr>
          <w:szCs w:val="24"/>
        </w:rPr>
      </w:pPr>
      <w:r>
        <w:rPr>
          <w:szCs w:val="24"/>
        </w:rPr>
        <w:t xml:space="preserve">In addition to using JAWS on his desktop, </w:t>
      </w:r>
      <w:r w:rsidR="00A378FE">
        <w:rPr>
          <w:szCs w:val="24"/>
        </w:rPr>
        <w:t xml:space="preserve">Douglass </w:t>
      </w:r>
      <w:r>
        <w:rPr>
          <w:szCs w:val="24"/>
        </w:rPr>
        <w:t xml:space="preserve">uses VoiceOver on his iPhone. </w:t>
      </w:r>
      <w:r w:rsidR="00DB0BA4">
        <w:rPr>
          <w:szCs w:val="24"/>
        </w:rPr>
        <w:t>“</w:t>
      </w:r>
      <w:bookmarkStart w:id="6" w:name="_Hlk36613571"/>
      <w:r w:rsidR="00577D85" w:rsidRPr="00577D85">
        <w:rPr>
          <w:szCs w:val="24"/>
        </w:rPr>
        <w:t>VoiceOver is an industry</w:t>
      </w:r>
      <w:r w:rsidR="00577D85" w:rsidRPr="00577D85">
        <w:rPr>
          <w:szCs w:val="24"/>
        </w:rPr>
        <w:noBreakHyphen/>
        <w:t xml:space="preserve">leading screen reader that tells you exactly what’s happening on your device. VoiceOver can now describe people, objects, text, and graphs in greater detail than ever. Auditory descriptions of elements help you easily navigate your screen through a Bluetooth keyboard or simple gestures on a touchscreen or trackpad. And with unique rotor gestures that </w:t>
      </w:r>
      <w:r w:rsidR="00577D85" w:rsidRPr="00577D85">
        <w:rPr>
          <w:szCs w:val="24"/>
        </w:rPr>
        <w:lastRenderedPageBreak/>
        <w:t>function like a dial on touchscreens and trackpads, you can make content such as websites a breeze to browse</w:t>
      </w:r>
      <w:r w:rsidR="00DB0BA4" w:rsidRPr="00577D85">
        <w:rPr>
          <w:szCs w:val="24"/>
        </w:rPr>
        <w:t>.”</w:t>
      </w:r>
      <w:bookmarkEnd w:id="6"/>
      <w:r w:rsidR="00DB0BA4">
        <w:rPr>
          <w:rStyle w:val="FootnoteReference"/>
          <w:szCs w:val="24"/>
        </w:rPr>
        <w:footnoteReference w:id="34"/>
      </w:r>
    </w:p>
    <w:p w14:paraId="3DB0C44F" w14:textId="1A926493" w:rsidR="00405537" w:rsidRPr="00577D85" w:rsidRDefault="00F971D5" w:rsidP="00577D85">
      <w:pPr>
        <w:pStyle w:val="ListParagraph"/>
        <w:numPr>
          <w:ilvl w:val="0"/>
          <w:numId w:val="1"/>
        </w:numPr>
        <w:tabs>
          <w:tab w:val="clear" w:pos="1440"/>
        </w:tabs>
        <w:spacing w:line="480" w:lineRule="auto"/>
        <w:ind w:left="0" w:firstLine="720"/>
        <w:jc w:val="both"/>
        <w:rPr>
          <w:szCs w:val="24"/>
        </w:rPr>
      </w:pPr>
      <w:r>
        <w:rPr>
          <w:szCs w:val="24"/>
        </w:rPr>
        <w:t>Other</w:t>
      </w:r>
      <w:r w:rsidR="00405537">
        <w:rPr>
          <w:szCs w:val="24"/>
        </w:rPr>
        <w:t xml:space="preserve"> consumers use </w:t>
      </w:r>
      <w:proofErr w:type="spellStart"/>
      <w:r w:rsidR="00405537">
        <w:rPr>
          <w:szCs w:val="24"/>
        </w:rPr>
        <w:t>TalkBack</w:t>
      </w:r>
      <w:proofErr w:type="spellEnd"/>
      <w:r w:rsidR="00405537">
        <w:rPr>
          <w:szCs w:val="24"/>
        </w:rPr>
        <w:t xml:space="preserve"> to shop online</w:t>
      </w:r>
      <w:r>
        <w:rPr>
          <w:szCs w:val="24"/>
        </w:rPr>
        <w:t xml:space="preserve"> from Android devices</w:t>
      </w:r>
      <w:r w:rsidR="00405537">
        <w:rPr>
          <w:szCs w:val="24"/>
        </w:rPr>
        <w:t>. “</w:t>
      </w:r>
      <w:proofErr w:type="spellStart"/>
      <w:r w:rsidR="00405537" w:rsidRPr="00DE60AA">
        <w:rPr>
          <w:szCs w:val="24"/>
        </w:rPr>
        <w:t>TalkBack</w:t>
      </w:r>
      <w:proofErr w:type="spellEnd"/>
      <w:r w:rsidR="00405537" w:rsidRPr="00DE60AA">
        <w:rPr>
          <w:szCs w:val="24"/>
        </w:rPr>
        <w:t xml:space="preserve"> is the Google screen reader included on Android devices. </w:t>
      </w:r>
      <w:proofErr w:type="spellStart"/>
      <w:r w:rsidR="00405537" w:rsidRPr="00DE60AA">
        <w:rPr>
          <w:szCs w:val="24"/>
        </w:rPr>
        <w:t>TalkBack</w:t>
      </w:r>
      <w:proofErr w:type="spellEnd"/>
      <w:r w:rsidR="00405537" w:rsidRPr="00DE60AA">
        <w:rPr>
          <w:szCs w:val="24"/>
        </w:rPr>
        <w:t xml:space="preserve"> gives </w:t>
      </w:r>
      <w:proofErr w:type="spellStart"/>
      <w:r w:rsidR="00405537" w:rsidRPr="00DE60AA">
        <w:rPr>
          <w:szCs w:val="24"/>
        </w:rPr>
        <w:t>you</w:t>
      </w:r>
      <w:proofErr w:type="spellEnd"/>
      <w:r w:rsidR="00405537" w:rsidRPr="00DE60AA">
        <w:rPr>
          <w:szCs w:val="24"/>
        </w:rPr>
        <w:t xml:space="preserve"> eyes-free control of your device.”</w:t>
      </w:r>
      <w:r w:rsidR="00405537">
        <w:rPr>
          <w:rStyle w:val="FootnoteReference"/>
          <w:szCs w:val="24"/>
        </w:rPr>
        <w:footnoteReference w:id="35"/>
      </w:r>
    </w:p>
    <w:p w14:paraId="3DC67184" w14:textId="7F09C337" w:rsidR="00DB0BA4" w:rsidRDefault="004519FC" w:rsidP="00E36B0E">
      <w:pPr>
        <w:pStyle w:val="ListParagraph"/>
        <w:numPr>
          <w:ilvl w:val="0"/>
          <w:numId w:val="1"/>
        </w:numPr>
        <w:tabs>
          <w:tab w:val="clear" w:pos="1440"/>
        </w:tabs>
        <w:spacing w:line="480" w:lineRule="auto"/>
        <w:ind w:left="0" w:firstLine="720"/>
        <w:jc w:val="both"/>
        <w:rPr>
          <w:szCs w:val="24"/>
        </w:rPr>
      </w:pPr>
      <w:r>
        <w:t>Here is an example of another online store’s successful use of audio descriptions to communicate its products to screen reader users.</w:t>
      </w:r>
      <w:r>
        <w:rPr>
          <w:rStyle w:val="FootnoteReference"/>
        </w:rPr>
        <w:footnoteReference w:id="36"/>
      </w:r>
      <w:r>
        <w:t xml:space="preserve"> The image on the left illustrates what shoppers perceive visually when browsing the online store with an iPhone. To the right is an image from the online store with the audio description highlighted for that image in green. Although invisible to the eye, screen access software reads this highlighted text aloud in order to describe the image to shoppers who cannot perceive content visually. In this example, when shoppers tab to the image file with a screen reader, the online store announces, “One burlap and cotton tote bag with a custom printed architectural company logo.” Blind shoppers require audio descriptions, frequently called “alternative text,” like this to access digital content fully, equally, and independently</w:t>
      </w:r>
      <w:r w:rsidR="00B82AF7">
        <w:t>.</w:t>
      </w:r>
    </w:p>
    <w:p w14:paraId="5C18502F" w14:textId="70F8BEAA" w:rsidR="00B3008D" w:rsidRDefault="00B3008D" w:rsidP="00E36B0E">
      <w:pPr>
        <w:pStyle w:val="ListParagraph"/>
        <w:numPr>
          <w:ilvl w:val="0"/>
          <w:numId w:val="1"/>
        </w:numPr>
        <w:tabs>
          <w:tab w:val="clear" w:pos="1440"/>
        </w:tabs>
        <w:spacing w:line="480" w:lineRule="auto"/>
        <w:ind w:left="0" w:firstLine="720"/>
        <w:jc w:val="both"/>
        <w:rPr>
          <w:szCs w:val="24"/>
        </w:rPr>
      </w:pPr>
      <w:r>
        <w:t xml:space="preserve">Unfortunately, because of </w:t>
      </w:r>
      <w:r>
        <w:rPr>
          <w:szCs w:val="24"/>
        </w:rPr>
        <w:t xml:space="preserve">Defendant’s </w:t>
      </w:r>
      <w:r>
        <w:t xml:space="preserve">failure to build its Digital Platform </w:t>
      </w:r>
      <w:r w:rsidRPr="0056064F">
        <w:t xml:space="preserve">in a </w:t>
      </w:r>
      <w:r>
        <w:t>manner</w:t>
      </w:r>
      <w:r w:rsidRPr="0056064F">
        <w:t xml:space="preserve"> that is compatible </w:t>
      </w:r>
      <w:r>
        <w:t xml:space="preserve">with screen access software, including </w:t>
      </w:r>
      <w:r w:rsidR="00405537">
        <w:t xml:space="preserve">JAWS, </w:t>
      </w:r>
      <w:r>
        <w:t>VoiceOver,</w:t>
      </w:r>
      <w:r w:rsidR="00405537">
        <w:t xml:space="preserve"> and </w:t>
      </w:r>
      <w:proofErr w:type="spellStart"/>
      <w:r w:rsidR="00405537">
        <w:t>TalkBack</w:t>
      </w:r>
      <w:proofErr w:type="spellEnd"/>
      <w:r w:rsidR="00405537">
        <w:t>,</w:t>
      </w:r>
      <w:r>
        <w:t xml:space="preserve"> </w:t>
      </w:r>
      <w:r w:rsidR="00D818A2">
        <w:t>Douglass</w:t>
      </w:r>
      <w:r>
        <w:t xml:space="preserve"> is</w:t>
      </w:r>
      <w:r w:rsidRPr="0056064F">
        <w:t xml:space="preserve"> unable to understand, and thus is denied the benefit of, much of the</w:t>
      </w:r>
      <w:r>
        <w:t xml:space="preserve"> content and services he wishes to access from his smartphone.</w:t>
      </w:r>
    </w:p>
    <w:p w14:paraId="00FDA043" w14:textId="793D6EC3" w:rsidR="00EC67F3" w:rsidRDefault="00B3008D" w:rsidP="00E36B0E">
      <w:pPr>
        <w:pStyle w:val="ListParagraph"/>
        <w:numPr>
          <w:ilvl w:val="0"/>
          <w:numId w:val="1"/>
        </w:numPr>
        <w:tabs>
          <w:tab w:val="clear" w:pos="1440"/>
        </w:tabs>
        <w:spacing w:line="480" w:lineRule="auto"/>
        <w:ind w:left="0" w:firstLine="720"/>
        <w:jc w:val="both"/>
      </w:pPr>
      <w:r>
        <w:rPr>
          <w:szCs w:val="24"/>
        </w:rPr>
        <w:lastRenderedPageBreak/>
        <w:t>A</w:t>
      </w:r>
      <w:r w:rsidR="00DB0BA4">
        <w:t>s a</w:t>
      </w:r>
      <w:r w:rsidR="00DB0BA4" w:rsidRPr="0088277A">
        <w:t xml:space="preserve"> result of visiting </w:t>
      </w:r>
      <w:r w:rsidR="00DB0BA4">
        <w:rPr>
          <w:szCs w:val="24"/>
        </w:rPr>
        <w:t xml:space="preserve">the </w:t>
      </w:r>
      <w:r w:rsidR="00DB0BA4">
        <w:t>Digital Platform</w:t>
      </w:r>
      <w:r w:rsidR="00405537">
        <w:t xml:space="preserve"> in </w:t>
      </w:r>
      <w:r w:rsidR="00681FF3" w:rsidRPr="00A378FE">
        <w:rPr>
          <w:i/>
          <w:iCs/>
        </w:rPr>
        <w:t>May 2020</w:t>
      </w:r>
      <w:r w:rsidR="00DB0BA4">
        <w:t xml:space="preserve">, </w:t>
      </w:r>
      <w:r w:rsidR="00DB0BA4" w:rsidRPr="0088277A">
        <w:t>and from investigations perfo</w:t>
      </w:r>
      <w:r w:rsidR="00DB0BA4">
        <w:t>rmed on his behalf,</w:t>
      </w:r>
      <w:r w:rsidR="00DB0BA4" w:rsidRPr="008F0C04">
        <w:rPr>
          <w:szCs w:val="24"/>
        </w:rPr>
        <w:t xml:space="preserve"> </w:t>
      </w:r>
      <w:r w:rsidR="004D2AB4">
        <w:rPr>
          <w:szCs w:val="24"/>
        </w:rPr>
        <w:t>Douglass</w:t>
      </w:r>
      <w:r w:rsidR="00DB0BA4">
        <w:t xml:space="preserve"> </w:t>
      </w:r>
      <w:r w:rsidR="00DB0BA4" w:rsidRPr="005103FB">
        <w:t xml:space="preserve">found </w:t>
      </w:r>
      <w:r w:rsidR="00C76084">
        <w:t xml:space="preserve">he </w:t>
      </w:r>
      <w:r w:rsidR="00681FF3">
        <w:t>could not</w:t>
      </w:r>
      <w:r w:rsidR="00C76084">
        <w:t xml:space="preserve"> access</w:t>
      </w:r>
      <w:r w:rsidR="00DB0BA4">
        <w:t xml:space="preserve"> </w:t>
      </w:r>
      <w:r w:rsidR="007C6925">
        <w:t>Defendant</w:t>
      </w:r>
      <w:r w:rsidR="00C76084">
        <w:t xml:space="preserve">’s goods and services fully and equally </w:t>
      </w:r>
      <w:r w:rsidR="007C6925">
        <w:t xml:space="preserve">because screen reader auxiliary aids </w:t>
      </w:r>
      <w:r w:rsidR="00681FF3">
        <w:t>could not</w:t>
      </w:r>
      <w:r w:rsidR="007C6925">
        <w:t xml:space="preserve"> access </w:t>
      </w:r>
      <w:r w:rsidR="006D73AC">
        <w:t>important content on</w:t>
      </w:r>
      <w:r w:rsidR="007C6925">
        <w:t xml:space="preserve"> the </w:t>
      </w:r>
      <w:r w:rsidR="00DB0BA4">
        <w:t>Digital Platform</w:t>
      </w:r>
      <w:r w:rsidR="007C6925">
        <w:t>.</w:t>
      </w:r>
      <w:r w:rsidR="00DB0BA4" w:rsidRPr="00B15172">
        <w:t xml:space="preserve"> </w:t>
      </w:r>
      <w:r w:rsidR="00681FF3">
        <w:t>For example:</w:t>
      </w:r>
    </w:p>
    <w:p w14:paraId="7C08502F" w14:textId="13188F57" w:rsidR="00681FF3" w:rsidRDefault="009B2AFF" w:rsidP="00681FF3">
      <w:pPr>
        <w:numPr>
          <w:ilvl w:val="1"/>
          <w:numId w:val="1"/>
        </w:numPr>
        <w:tabs>
          <w:tab w:val="clear" w:pos="1440"/>
        </w:tabs>
        <w:spacing w:line="480" w:lineRule="auto"/>
        <w:ind w:left="0" w:firstLine="1440"/>
        <w:jc w:val="both"/>
        <w:rPr>
          <w:szCs w:val="24"/>
        </w:rPr>
      </w:pPr>
      <w:bookmarkStart w:id="7" w:name="_Hlk37070293"/>
      <w:bookmarkStart w:id="8" w:name="_Hlk36292079"/>
      <w:r>
        <w:rPr>
          <w:noProof/>
        </w:rPr>
        <w:drawing>
          <wp:anchor distT="0" distB="0" distL="114300" distR="114300" simplePos="0" relativeHeight="251661312" behindDoc="1" locked="0" layoutInCell="1" allowOverlap="1" wp14:anchorId="0A9E3916" wp14:editId="0648C1E8">
            <wp:simplePos x="0" y="0"/>
            <wp:positionH relativeFrom="margin">
              <wp:posOffset>2125980</wp:posOffset>
            </wp:positionH>
            <wp:positionV relativeFrom="paragraph">
              <wp:posOffset>33655</wp:posOffset>
            </wp:positionV>
            <wp:extent cx="1828800" cy="3173095"/>
            <wp:effectExtent l="19050" t="19050" r="19050" b="27305"/>
            <wp:wrapTight wrapText="bothSides">
              <wp:wrapPolygon edited="0">
                <wp:start x="-225" y="-130"/>
                <wp:lineTo x="-225" y="21656"/>
                <wp:lineTo x="21600" y="21656"/>
                <wp:lineTo x="21600" y="-130"/>
                <wp:lineTo x="-225" y="-13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2396"/>
                    <a:stretch/>
                  </pic:blipFill>
                  <pic:spPr bwMode="auto">
                    <a:xfrm>
                      <a:off x="0" y="0"/>
                      <a:ext cx="1828800" cy="3173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5B1D583D" wp14:editId="25002084">
            <wp:simplePos x="0" y="0"/>
            <wp:positionH relativeFrom="margin">
              <wp:posOffset>4099804</wp:posOffset>
            </wp:positionH>
            <wp:positionV relativeFrom="paragraph">
              <wp:posOffset>3364865</wp:posOffset>
            </wp:positionV>
            <wp:extent cx="1828800" cy="3176693"/>
            <wp:effectExtent l="19050" t="19050" r="19050" b="24130"/>
            <wp:wrapTight wrapText="bothSides">
              <wp:wrapPolygon edited="0">
                <wp:start x="-225" y="-130"/>
                <wp:lineTo x="-225" y="21635"/>
                <wp:lineTo x="21600" y="21635"/>
                <wp:lineTo x="21600" y="-130"/>
                <wp:lineTo x="-225" y="-13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t="2292"/>
                    <a:stretch/>
                  </pic:blipFill>
                  <pic:spPr bwMode="auto">
                    <a:xfrm>
                      <a:off x="0" y="0"/>
                      <a:ext cx="1828800" cy="317669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317CF470" wp14:editId="5A35D361">
            <wp:simplePos x="0" y="0"/>
            <wp:positionH relativeFrom="margin">
              <wp:posOffset>4107180</wp:posOffset>
            </wp:positionH>
            <wp:positionV relativeFrom="paragraph">
              <wp:posOffset>33655</wp:posOffset>
            </wp:positionV>
            <wp:extent cx="1828800" cy="3173307"/>
            <wp:effectExtent l="19050" t="19050" r="19050" b="27305"/>
            <wp:wrapTight wrapText="bothSides">
              <wp:wrapPolygon edited="0">
                <wp:start x="-225" y="-130"/>
                <wp:lineTo x="-225" y="21656"/>
                <wp:lineTo x="21600" y="21656"/>
                <wp:lineTo x="21600" y="-130"/>
                <wp:lineTo x="-225" y="-13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t="2396"/>
                    <a:stretch/>
                  </pic:blipFill>
                  <pic:spPr bwMode="auto">
                    <a:xfrm>
                      <a:off x="0" y="0"/>
                      <a:ext cx="1828800" cy="3173307"/>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F77FF0">
        <w:rPr>
          <w:szCs w:val="24"/>
        </w:rPr>
        <w:t xml:space="preserve">The Digital Platform prevents screen reader users from accessing some primary content. For example, when </w:t>
      </w:r>
      <w:r w:rsidR="00681FF3">
        <w:rPr>
          <w:szCs w:val="24"/>
        </w:rPr>
        <w:t>consumers</w:t>
      </w:r>
      <w:r w:rsidR="00681FF3" w:rsidRPr="00F77FF0">
        <w:rPr>
          <w:szCs w:val="24"/>
        </w:rPr>
        <w:t xml:space="preserve"> visit the </w:t>
      </w:r>
      <w:hyperlink w:history="1">
        <w:r w:rsidR="00681FF3" w:rsidRPr="00C40424">
          <w:rPr>
            <w:rStyle w:val="Hyperlink"/>
          </w:rPr>
          <w:t>https://www.mondelezinternat ional.com/</w:t>
        </w:r>
      </w:hyperlink>
      <w:r w:rsidR="00681FF3">
        <w:t xml:space="preserve">, </w:t>
      </w:r>
      <w:hyperlink w:history="1">
        <w:r w:rsidR="00681FF3" w:rsidRPr="00C40424">
          <w:rPr>
            <w:rStyle w:val="Hyperlink"/>
          </w:rPr>
          <w:t>https://www.snack works.com/</w:t>
        </w:r>
      </w:hyperlink>
      <w:r w:rsidR="00681FF3">
        <w:t xml:space="preserve">, and </w:t>
      </w:r>
      <w:hyperlink w:history="1">
        <w:r w:rsidR="00681FF3" w:rsidRPr="00C40424">
          <w:rPr>
            <w:rStyle w:val="Hyperlink"/>
          </w:rPr>
          <w:t>https://wheat thins.com/</w:t>
        </w:r>
      </w:hyperlink>
      <w:r w:rsidR="00681FF3">
        <w:t xml:space="preserve"> websites </w:t>
      </w:r>
      <w:r w:rsidR="00681FF3" w:rsidRPr="00F77FF0">
        <w:rPr>
          <w:szCs w:val="24"/>
        </w:rPr>
        <w:t xml:space="preserve">from a new IP address, </w:t>
      </w:r>
      <w:r w:rsidR="00681FF3" w:rsidRPr="00CD6732">
        <w:rPr>
          <w:szCs w:val="24"/>
        </w:rPr>
        <w:t xml:space="preserve">Defendant </w:t>
      </w:r>
      <w:r w:rsidR="00681FF3" w:rsidRPr="00F77FF0">
        <w:rPr>
          <w:szCs w:val="24"/>
        </w:rPr>
        <w:t xml:space="preserve">displays a pop-up message to notify them of its cookies policy. </w:t>
      </w:r>
      <w:r w:rsidR="00681FF3">
        <w:rPr>
          <w:szCs w:val="24"/>
        </w:rPr>
        <w:t>Consumers</w:t>
      </w:r>
      <w:r w:rsidR="00681FF3" w:rsidRPr="00F77FF0">
        <w:rPr>
          <w:szCs w:val="24"/>
        </w:rPr>
        <w:t xml:space="preserve"> who perceive content visually can click the button to learn more about how </w:t>
      </w:r>
      <w:r w:rsidR="00681FF3" w:rsidRPr="00CD6732">
        <w:rPr>
          <w:szCs w:val="24"/>
        </w:rPr>
        <w:t xml:space="preserve">Defendant </w:t>
      </w:r>
      <w:r w:rsidR="00681FF3" w:rsidRPr="00F77FF0">
        <w:rPr>
          <w:szCs w:val="24"/>
        </w:rPr>
        <w:t xml:space="preserve">collects and shares their personal information with social media, advertising, and analytics partners. Unfortunately, the Digital Platform does not alert screen readers of this pop-up message. Instead, screen readers remain focused on the content of the Digital Platform’s underlying page, making the pop-up invisible to </w:t>
      </w:r>
      <w:r w:rsidR="00681FF3">
        <w:rPr>
          <w:szCs w:val="24"/>
        </w:rPr>
        <w:t>screen reader users</w:t>
      </w:r>
      <w:r w:rsidR="00681FF3" w:rsidRPr="00F77FF0">
        <w:rPr>
          <w:szCs w:val="24"/>
        </w:rPr>
        <w:t xml:space="preserve">. As a result, it is impossible for Douglass to </w:t>
      </w:r>
      <w:r w:rsidR="00681FF3" w:rsidRPr="00F77FF0">
        <w:rPr>
          <w:szCs w:val="24"/>
        </w:rPr>
        <w:lastRenderedPageBreak/>
        <w:t xml:space="preserve">perceive this important legal disclosure independently, </w:t>
      </w:r>
      <w:bookmarkStart w:id="9" w:name="_Hlk37410881"/>
      <w:r w:rsidR="00681FF3" w:rsidRPr="00F77FF0">
        <w:rPr>
          <w:szCs w:val="24"/>
        </w:rPr>
        <w:t xml:space="preserve">depriving him of the </w:t>
      </w:r>
      <w:r w:rsidR="00681FF3">
        <w:rPr>
          <w:szCs w:val="24"/>
        </w:rPr>
        <w:t>benefits of</w:t>
      </w:r>
      <w:r w:rsidR="00681FF3" w:rsidRPr="00F77FF0">
        <w:rPr>
          <w:szCs w:val="24"/>
        </w:rPr>
        <w:t xml:space="preserve"> the California Consumer Privacy Act</w:t>
      </w:r>
      <w:bookmarkEnd w:id="7"/>
      <w:bookmarkEnd w:id="9"/>
      <w:r w:rsidR="00681FF3">
        <w:rPr>
          <w:szCs w:val="24"/>
        </w:rPr>
        <w:t>.</w:t>
      </w:r>
    </w:p>
    <w:p w14:paraId="65F90C37" w14:textId="27684DF9" w:rsidR="00681FF3" w:rsidRDefault="00D2505B" w:rsidP="00681FF3">
      <w:pPr>
        <w:numPr>
          <w:ilvl w:val="1"/>
          <w:numId w:val="1"/>
        </w:numPr>
        <w:tabs>
          <w:tab w:val="clear" w:pos="1440"/>
        </w:tabs>
        <w:spacing w:line="480" w:lineRule="auto"/>
        <w:ind w:left="0" w:firstLine="1440"/>
        <w:jc w:val="both"/>
        <w:rPr>
          <w:szCs w:val="24"/>
        </w:rPr>
      </w:pPr>
      <w:bookmarkStart w:id="10" w:name="_Hlk36128037"/>
      <w:r>
        <w:rPr>
          <w:noProof/>
        </w:rPr>
        <w:drawing>
          <wp:anchor distT="0" distB="0" distL="114300" distR="114300" simplePos="0" relativeHeight="251665408" behindDoc="1" locked="0" layoutInCell="1" allowOverlap="1" wp14:anchorId="5AD2FAD5" wp14:editId="4F5439EF">
            <wp:simplePos x="0" y="0"/>
            <wp:positionH relativeFrom="margin">
              <wp:posOffset>4099560</wp:posOffset>
            </wp:positionH>
            <wp:positionV relativeFrom="paragraph">
              <wp:posOffset>10795</wp:posOffset>
            </wp:positionV>
            <wp:extent cx="1828800" cy="3173095"/>
            <wp:effectExtent l="19050" t="19050" r="19050" b="27305"/>
            <wp:wrapTight wrapText="bothSides">
              <wp:wrapPolygon edited="0">
                <wp:start x="-225" y="-130"/>
                <wp:lineTo x="-225" y="21656"/>
                <wp:lineTo x="21600" y="21656"/>
                <wp:lineTo x="21600" y="-130"/>
                <wp:lineTo x="-225" y="-13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t="2396"/>
                    <a:stretch/>
                  </pic:blipFill>
                  <pic:spPr bwMode="auto">
                    <a:xfrm>
                      <a:off x="0" y="0"/>
                      <a:ext cx="1828800" cy="3173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F77FF0">
        <w:rPr>
          <w:szCs w:val="24"/>
        </w:rPr>
        <w:t xml:space="preserve">Links and buttons on the Digital Platform do not describe their purpose. As a result, </w:t>
      </w:r>
      <w:r w:rsidR="00681FF3">
        <w:rPr>
          <w:szCs w:val="24"/>
        </w:rPr>
        <w:t>consumers</w:t>
      </w:r>
      <w:r w:rsidR="00681FF3" w:rsidRPr="00F77FF0">
        <w:rPr>
          <w:szCs w:val="24"/>
        </w:rPr>
        <w:t xml:space="preserve"> who have a visual impairment cannot determine whether they want to follow a particular link, making navigation an exercise of trial and error. For example,</w:t>
      </w:r>
      <w:bookmarkStart w:id="11" w:name="_Hlk35954929"/>
      <w:r w:rsidR="00681FF3" w:rsidRPr="00F77FF0">
        <w:rPr>
          <w:szCs w:val="24"/>
        </w:rPr>
        <w:t xml:space="preserve"> </w:t>
      </w:r>
      <w:r w:rsidR="00681FF3">
        <w:rPr>
          <w:szCs w:val="24"/>
        </w:rPr>
        <w:t>consumers</w:t>
      </w:r>
      <w:r w:rsidR="00681FF3" w:rsidRPr="00F77FF0">
        <w:rPr>
          <w:szCs w:val="24"/>
        </w:rPr>
        <w:t xml:space="preserve"> who perceive content visually will likely recognize the </w:t>
      </w:r>
      <w:r w:rsidR="00681FF3">
        <w:rPr>
          <w:szCs w:val="24"/>
        </w:rPr>
        <w:t>shopping cart</w:t>
      </w:r>
      <w:r w:rsidR="00681FF3" w:rsidRPr="00F77FF0">
        <w:rPr>
          <w:szCs w:val="24"/>
        </w:rPr>
        <w:t xml:space="preserve"> icon </w:t>
      </w:r>
      <w:r w:rsidR="00681FF3">
        <w:rPr>
          <w:szCs w:val="24"/>
        </w:rPr>
        <w:t xml:space="preserve">at </w:t>
      </w:r>
      <w:hyperlink r:id="rId44" w:history="1">
        <w:r w:rsidR="00681FF3">
          <w:rPr>
            <w:rStyle w:val="Hyperlink"/>
          </w:rPr>
          <w:t>https://www.oreo.com/</w:t>
        </w:r>
      </w:hyperlink>
      <w:r w:rsidR="00681FF3">
        <w:t xml:space="preserve"> </w:t>
      </w:r>
      <w:r w:rsidR="00681FF3" w:rsidRPr="00F77FF0">
        <w:rPr>
          <w:szCs w:val="24"/>
        </w:rPr>
        <w:t xml:space="preserve">and understand that by clicking it, </w:t>
      </w:r>
      <w:r w:rsidR="00681FF3">
        <w:rPr>
          <w:szCs w:val="24"/>
        </w:rPr>
        <w:t>Defendant</w:t>
      </w:r>
      <w:r w:rsidR="00681FF3" w:rsidRPr="00F77FF0">
        <w:rPr>
          <w:szCs w:val="24"/>
        </w:rPr>
        <w:t xml:space="preserve"> will redirect them to its online checkout platform. Unfortunately, this icon is not labeled with sufficiently descriptive alternative text. As a result, when screen readers hover over it, </w:t>
      </w:r>
      <w:r w:rsidR="00681FF3">
        <w:rPr>
          <w:szCs w:val="24"/>
        </w:rPr>
        <w:t>screen readers</w:t>
      </w:r>
      <w:r w:rsidR="00681FF3" w:rsidRPr="00F77FF0">
        <w:rPr>
          <w:szCs w:val="24"/>
        </w:rPr>
        <w:t xml:space="preserve"> announce</w:t>
      </w:r>
      <w:r w:rsidR="00681FF3">
        <w:rPr>
          <w:szCs w:val="24"/>
        </w:rPr>
        <w:t xml:space="preserve"> “unpronounceable,” only.</w:t>
      </w:r>
      <w:r w:rsidR="00681FF3" w:rsidRPr="00F77FF0">
        <w:rPr>
          <w:szCs w:val="24"/>
        </w:rPr>
        <w:t xml:space="preserve"> Because this text is meaningless without additional context, </w:t>
      </w:r>
      <w:r w:rsidR="00681FF3">
        <w:rPr>
          <w:szCs w:val="24"/>
        </w:rPr>
        <w:t>Douglass</w:t>
      </w:r>
      <w:r w:rsidR="00681FF3" w:rsidRPr="00F77FF0">
        <w:rPr>
          <w:szCs w:val="24"/>
        </w:rPr>
        <w:t xml:space="preserve"> is less likely to locate the payment platform and complete a purchase successfully</w:t>
      </w:r>
      <w:bookmarkEnd w:id="10"/>
      <w:bookmarkEnd w:id="11"/>
      <w:r w:rsidR="00681FF3">
        <w:rPr>
          <w:szCs w:val="24"/>
        </w:rPr>
        <w:t>.</w:t>
      </w:r>
    </w:p>
    <w:p w14:paraId="1E567E9D" w14:textId="447FF6DF" w:rsidR="00681FF3" w:rsidRDefault="00D2505B" w:rsidP="00681FF3">
      <w:pPr>
        <w:numPr>
          <w:ilvl w:val="1"/>
          <w:numId w:val="1"/>
        </w:numPr>
        <w:tabs>
          <w:tab w:val="clear" w:pos="1440"/>
        </w:tabs>
        <w:spacing w:line="480" w:lineRule="auto"/>
        <w:ind w:left="0" w:firstLine="1440"/>
        <w:jc w:val="both"/>
        <w:rPr>
          <w:szCs w:val="24"/>
        </w:rPr>
      </w:pPr>
      <w:bookmarkStart w:id="12" w:name="_Hlk36286822"/>
      <w:r>
        <w:rPr>
          <w:noProof/>
        </w:rPr>
        <w:drawing>
          <wp:anchor distT="0" distB="0" distL="114300" distR="114300" simplePos="0" relativeHeight="251667456" behindDoc="1" locked="0" layoutInCell="1" allowOverlap="1" wp14:anchorId="6CD83F9D" wp14:editId="32BEB482">
            <wp:simplePos x="0" y="0"/>
            <wp:positionH relativeFrom="margin">
              <wp:posOffset>4099560</wp:posOffset>
            </wp:positionH>
            <wp:positionV relativeFrom="paragraph">
              <wp:posOffset>-2540</wp:posOffset>
            </wp:positionV>
            <wp:extent cx="1828800" cy="3176270"/>
            <wp:effectExtent l="19050" t="19050" r="19050" b="24130"/>
            <wp:wrapTight wrapText="bothSides">
              <wp:wrapPolygon edited="0">
                <wp:start x="-225" y="-130"/>
                <wp:lineTo x="-225" y="21635"/>
                <wp:lineTo x="21600" y="21635"/>
                <wp:lineTo x="21600" y="-130"/>
                <wp:lineTo x="-225" y="-13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a:extLst>
                        <a:ext uri="{28A0092B-C50C-407E-A947-70E740481C1C}">
                          <a14:useLocalDpi xmlns:a14="http://schemas.microsoft.com/office/drawing/2010/main" val="0"/>
                        </a:ext>
                      </a:extLst>
                    </a:blip>
                    <a:srcRect t="2292"/>
                    <a:stretch/>
                  </pic:blipFill>
                  <pic:spPr bwMode="auto">
                    <a:xfrm>
                      <a:off x="0" y="0"/>
                      <a:ext cx="1828800" cy="31762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F77FF0">
        <w:rPr>
          <w:szCs w:val="24"/>
        </w:rPr>
        <w:t xml:space="preserve">The Digital Platform prevents screen reader users from accessing primary content. For example, </w:t>
      </w:r>
      <w:r w:rsidR="00681FF3">
        <w:rPr>
          <w:szCs w:val="24"/>
        </w:rPr>
        <w:t xml:space="preserve">Defendant’s </w:t>
      </w:r>
      <w:hyperlink r:id="rId46" w:history="1">
        <w:r w:rsidR="00681FF3">
          <w:rPr>
            <w:rStyle w:val="Hyperlink"/>
          </w:rPr>
          <w:t>https://www.belvitabreakfast.com/</w:t>
        </w:r>
      </w:hyperlink>
      <w:r w:rsidR="00681FF3">
        <w:t xml:space="preserve"> website</w:t>
      </w:r>
      <w:r w:rsidR="00681FF3" w:rsidRPr="00F77FF0">
        <w:rPr>
          <w:szCs w:val="24"/>
        </w:rPr>
        <w:t xml:space="preserve"> allows </w:t>
      </w:r>
      <w:r w:rsidR="00681FF3">
        <w:rPr>
          <w:szCs w:val="24"/>
        </w:rPr>
        <w:t>consumers</w:t>
      </w:r>
      <w:r w:rsidR="00681FF3" w:rsidRPr="00F77FF0">
        <w:rPr>
          <w:szCs w:val="24"/>
        </w:rPr>
        <w:t xml:space="preserve"> to </w:t>
      </w:r>
      <w:r w:rsidR="00681FF3">
        <w:rPr>
          <w:szCs w:val="24"/>
        </w:rPr>
        <w:t>review its products’ nutritional information</w:t>
      </w:r>
      <w:r w:rsidR="00681FF3" w:rsidRPr="00F77FF0">
        <w:rPr>
          <w:szCs w:val="24"/>
        </w:rPr>
        <w:t xml:space="preserve">. The Digital Platform displays </w:t>
      </w:r>
      <w:r w:rsidR="00681FF3">
        <w:rPr>
          <w:szCs w:val="24"/>
        </w:rPr>
        <w:t>information</w:t>
      </w:r>
      <w:r w:rsidR="00681FF3" w:rsidRPr="00F77FF0">
        <w:rPr>
          <w:szCs w:val="24"/>
        </w:rPr>
        <w:t xml:space="preserve"> in a pop-up window. </w:t>
      </w:r>
      <w:r w:rsidR="00681FF3">
        <w:rPr>
          <w:szCs w:val="24"/>
        </w:rPr>
        <w:t>Consumers</w:t>
      </w:r>
      <w:r w:rsidR="00681FF3" w:rsidRPr="00F77FF0">
        <w:rPr>
          <w:szCs w:val="24"/>
        </w:rPr>
        <w:t xml:space="preserve"> who perceive content visually can </w:t>
      </w:r>
      <w:r w:rsidR="00681FF3">
        <w:rPr>
          <w:szCs w:val="24"/>
        </w:rPr>
        <w:t xml:space="preserve">scroll through the pop-up to review all of the information it contains. </w:t>
      </w:r>
      <w:r w:rsidR="00681FF3" w:rsidRPr="00F77FF0">
        <w:rPr>
          <w:szCs w:val="24"/>
        </w:rPr>
        <w:t xml:space="preserve">Unfortunately, </w:t>
      </w:r>
      <w:r w:rsidR="00681FF3">
        <w:rPr>
          <w:szCs w:val="24"/>
        </w:rPr>
        <w:t>Defendant</w:t>
      </w:r>
      <w:r w:rsidR="00681FF3" w:rsidRPr="00F77FF0">
        <w:rPr>
          <w:szCs w:val="24"/>
        </w:rPr>
        <w:t xml:space="preserve"> does not alert screen readers to this pop-up window. </w:t>
      </w:r>
      <w:bookmarkStart w:id="13" w:name="_Hlk36476572"/>
      <w:r w:rsidR="00681FF3" w:rsidRPr="00F77FF0">
        <w:rPr>
          <w:szCs w:val="24"/>
        </w:rPr>
        <w:t xml:space="preserve">Instead, screen readers remain stuck on the unrelated elements in </w:t>
      </w:r>
      <w:r w:rsidR="00681FF3" w:rsidRPr="00F77FF0">
        <w:rPr>
          <w:szCs w:val="24"/>
        </w:rPr>
        <w:lastRenderedPageBreak/>
        <w:t xml:space="preserve">the website’s underlying page. This barrier makes it </w:t>
      </w:r>
      <w:bookmarkEnd w:id="12"/>
      <w:bookmarkEnd w:id="13"/>
      <w:r w:rsidR="00681FF3">
        <w:rPr>
          <w:szCs w:val="24"/>
        </w:rPr>
        <w:t>impossible for screen reader users, like Douglass, to tab to the nutritional information they were seeking.</w:t>
      </w:r>
    </w:p>
    <w:p w14:paraId="7743FE56" w14:textId="692B1E09" w:rsidR="00681FF3" w:rsidRDefault="00D2505B" w:rsidP="00681FF3">
      <w:pPr>
        <w:numPr>
          <w:ilvl w:val="1"/>
          <w:numId w:val="1"/>
        </w:numPr>
        <w:tabs>
          <w:tab w:val="clear" w:pos="1440"/>
        </w:tabs>
        <w:spacing w:line="480" w:lineRule="auto"/>
        <w:ind w:left="0" w:firstLine="1440"/>
        <w:jc w:val="both"/>
      </w:pPr>
      <w:r>
        <w:rPr>
          <w:noProof/>
        </w:rPr>
        <w:drawing>
          <wp:anchor distT="0" distB="0" distL="114300" distR="114300" simplePos="0" relativeHeight="251671552" behindDoc="1" locked="0" layoutInCell="1" allowOverlap="1" wp14:anchorId="0EEFD3BD" wp14:editId="6D1CC8DF">
            <wp:simplePos x="0" y="0"/>
            <wp:positionH relativeFrom="margin">
              <wp:posOffset>2118360</wp:posOffset>
            </wp:positionH>
            <wp:positionV relativeFrom="paragraph">
              <wp:posOffset>33655</wp:posOffset>
            </wp:positionV>
            <wp:extent cx="1828800" cy="3176693"/>
            <wp:effectExtent l="19050" t="19050" r="19050" b="24130"/>
            <wp:wrapTight wrapText="bothSides">
              <wp:wrapPolygon edited="0">
                <wp:start x="-225" y="-130"/>
                <wp:lineTo x="-225" y="21635"/>
                <wp:lineTo x="21600" y="21635"/>
                <wp:lineTo x="21600" y="-130"/>
                <wp:lineTo x="-225" y="-13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a:extLst>
                        <a:ext uri="{28A0092B-C50C-407E-A947-70E740481C1C}">
                          <a14:useLocalDpi xmlns:a14="http://schemas.microsoft.com/office/drawing/2010/main" val="0"/>
                        </a:ext>
                      </a:extLst>
                    </a:blip>
                    <a:srcRect t="2292"/>
                    <a:stretch/>
                  </pic:blipFill>
                  <pic:spPr bwMode="auto">
                    <a:xfrm>
                      <a:off x="0" y="0"/>
                      <a:ext cx="1828800" cy="317669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7D1B9DEE" wp14:editId="573363E1">
            <wp:simplePos x="0" y="0"/>
            <wp:positionH relativeFrom="margin">
              <wp:posOffset>4084320</wp:posOffset>
            </wp:positionH>
            <wp:positionV relativeFrom="paragraph">
              <wp:posOffset>33655</wp:posOffset>
            </wp:positionV>
            <wp:extent cx="1828800" cy="3180080"/>
            <wp:effectExtent l="19050" t="19050" r="19050" b="20320"/>
            <wp:wrapTight wrapText="bothSides">
              <wp:wrapPolygon edited="0">
                <wp:start x="-225" y="-129"/>
                <wp:lineTo x="-225" y="21609"/>
                <wp:lineTo x="21600" y="21609"/>
                <wp:lineTo x="21600" y="-129"/>
                <wp:lineTo x="-225" y="-129"/>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t="2187"/>
                    <a:stretch/>
                  </pic:blipFill>
                  <pic:spPr bwMode="auto">
                    <a:xfrm>
                      <a:off x="0" y="0"/>
                      <a:ext cx="1828800" cy="31800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D3348B">
        <w:rPr>
          <w:szCs w:val="24"/>
        </w:rPr>
        <w:t xml:space="preserve">The Digital Platform fails to describe the purpose of links and buttons sufficiently. As a result, screen reader users have difficulty understanding what information is contained on pages and how that information is organized. When link and button labels are clear and descriptive, screen reader users can find information they seek more easily and they can understand the relationships between different pieces of content. For example, the social media links on </w:t>
      </w:r>
      <w:r w:rsidR="00681FF3">
        <w:rPr>
          <w:szCs w:val="24"/>
        </w:rPr>
        <w:t xml:space="preserve">Defendant’s </w:t>
      </w:r>
      <w:hyperlink r:id="rId49" w:history="1">
        <w:r w:rsidR="00681FF3">
          <w:rPr>
            <w:rStyle w:val="Hyperlink"/>
          </w:rPr>
          <w:t>https://www.discoverteddy.com/</w:t>
        </w:r>
      </w:hyperlink>
      <w:r w:rsidR="00681FF3">
        <w:t xml:space="preserve"> website</w:t>
      </w:r>
      <w:r w:rsidR="00681FF3" w:rsidRPr="00D3348B">
        <w:rPr>
          <w:szCs w:val="24"/>
        </w:rPr>
        <w:t xml:space="preserve"> lack alternative text describing their purpose. </w:t>
      </w:r>
      <w:r w:rsidR="00681FF3">
        <w:rPr>
          <w:szCs w:val="24"/>
        </w:rPr>
        <w:t>Consumers</w:t>
      </w:r>
      <w:r w:rsidR="00681FF3" w:rsidRPr="00D3348B">
        <w:rPr>
          <w:szCs w:val="24"/>
        </w:rPr>
        <w:t xml:space="preserve"> who perceive content visually will likely recognize the Facebook, Twitter, </w:t>
      </w:r>
      <w:r w:rsidR="00681FF3">
        <w:rPr>
          <w:szCs w:val="24"/>
        </w:rPr>
        <w:t xml:space="preserve">and </w:t>
      </w:r>
      <w:r w:rsidR="00681FF3" w:rsidRPr="00D3348B">
        <w:rPr>
          <w:szCs w:val="24"/>
        </w:rPr>
        <w:t xml:space="preserve">YouTube icons in the </w:t>
      </w:r>
      <w:r w:rsidR="00681FF3">
        <w:rPr>
          <w:szCs w:val="24"/>
        </w:rPr>
        <w:t>website’s header</w:t>
      </w:r>
      <w:r w:rsidR="00681FF3" w:rsidRPr="00D3348B">
        <w:rPr>
          <w:szCs w:val="24"/>
        </w:rPr>
        <w:t xml:space="preserve"> and understand that by clicking these icons, </w:t>
      </w:r>
      <w:r w:rsidR="00681FF3">
        <w:rPr>
          <w:szCs w:val="24"/>
        </w:rPr>
        <w:t xml:space="preserve">Defendant </w:t>
      </w:r>
      <w:r w:rsidR="00681FF3" w:rsidRPr="00D3348B">
        <w:rPr>
          <w:szCs w:val="24"/>
        </w:rPr>
        <w:t xml:space="preserve">will redirect them to its different social media communities. </w:t>
      </w:r>
      <w:bookmarkStart w:id="14" w:name="_Hlk36120702"/>
      <w:r w:rsidR="00681FF3" w:rsidRPr="00D3348B">
        <w:rPr>
          <w:szCs w:val="24"/>
        </w:rPr>
        <w:t xml:space="preserve">Unfortunately, these links are not labeled with sufficiently descriptive alternative text. As a result, when screen readers hover over the </w:t>
      </w:r>
      <w:r w:rsidR="00681FF3">
        <w:rPr>
          <w:szCs w:val="24"/>
        </w:rPr>
        <w:t>Facebook icon, for example,</w:t>
      </w:r>
      <w:r w:rsidR="00681FF3" w:rsidRPr="00D3348B">
        <w:rPr>
          <w:szCs w:val="24"/>
        </w:rPr>
        <w:t xml:space="preserve"> </w:t>
      </w:r>
      <w:r w:rsidR="00681FF3">
        <w:rPr>
          <w:szCs w:val="24"/>
        </w:rPr>
        <w:t>Defendant</w:t>
      </w:r>
      <w:r w:rsidR="00681FF3" w:rsidRPr="00D3348B">
        <w:rPr>
          <w:szCs w:val="24"/>
        </w:rPr>
        <w:t xml:space="preserve"> announces, “</w:t>
      </w:r>
      <w:r w:rsidR="00681FF3">
        <w:rPr>
          <w:szCs w:val="24"/>
        </w:rPr>
        <w:t xml:space="preserve">teddy soft bakes five eight zero seven one zero five eight five four five </w:t>
      </w:r>
      <w:proofErr w:type="spellStart"/>
      <w:r w:rsidR="00681FF3">
        <w:rPr>
          <w:szCs w:val="24"/>
        </w:rPr>
        <w:t>five</w:t>
      </w:r>
      <w:proofErr w:type="spellEnd"/>
      <w:r w:rsidR="00681FF3">
        <w:rPr>
          <w:szCs w:val="24"/>
        </w:rPr>
        <w:t xml:space="preserve"> </w:t>
      </w:r>
      <w:proofErr w:type="spellStart"/>
      <w:r w:rsidR="00681FF3">
        <w:rPr>
          <w:szCs w:val="24"/>
        </w:rPr>
        <w:t>five</w:t>
      </w:r>
      <w:proofErr w:type="spellEnd"/>
      <w:r w:rsidR="00681FF3">
        <w:rPr>
          <w:szCs w:val="24"/>
        </w:rPr>
        <w:t xml:space="preserve"> seven four link navigation landmark</w:t>
      </w:r>
      <w:r w:rsidR="00681FF3" w:rsidRPr="00D3348B">
        <w:rPr>
          <w:szCs w:val="24"/>
        </w:rPr>
        <w:t xml:space="preserve">,” only. Because this audio cue is meaningless, screen reader users, like </w:t>
      </w:r>
      <w:r w:rsidR="00681FF3">
        <w:rPr>
          <w:szCs w:val="24"/>
        </w:rPr>
        <w:t>Douglass</w:t>
      </w:r>
      <w:r w:rsidR="00681FF3" w:rsidRPr="00D3348B">
        <w:rPr>
          <w:szCs w:val="24"/>
        </w:rPr>
        <w:t xml:space="preserve">, are likely to skip over the icon without discovering </w:t>
      </w:r>
      <w:r w:rsidR="00681FF3">
        <w:rPr>
          <w:szCs w:val="24"/>
        </w:rPr>
        <w:t>Defendant’s</w:t>
      </w:r>
      <w:r w:rsidR="00681FF3" w:rsidRPr="00D3348B">
        <w:rPr>
          <w:szCs w:val="24"/>
        </w:rPr>
        <w:t xml:space="preserve"> online community and the members in it. This access barrier contributes </w:t>
      </w:r>
      <w:r w:rsidR="00681FF3" w:rsidRPr="00D3348B">
        <w:rPr>
          <w:szCs w:val="24"/>
        </w:rPr>
        <w:lastRenderedPageBreak/>
        <w:t>to the very sense of isolation and stigma the ADA was intended to eliminate</w:t>
      </w:r>
      <w:bookmarkEnd w:id="14"/>
      <w:r w:rsidR="00681FF3">
        <w:rPr>
          <w:szCs w:val="24"/>
        </w:rPr>
        <w:t xml:space="preserve">. The social media icons on Defendant’s </w:t>
      </w:r>
      <w:hyperlink r:id="rId50" w:history="1">
        <w:r w:rsidR="00681FF3">
          <w:rPr>
            <w:rStyle w:val="Hyperlink"/>
          </w:rPr>
          <w:t>https://www.tridentgum.com/</w:t>
        </w:r>
      </w:hyperlink>
      <w:r w:rsidR="00681FF3">
        <w:t xml:space="preserve"> also lack sufficiently descriptive alternative text.</w:t>
      </w:r>
    </w:p>
    <w:p w14:paraId="06811704" w14:textId="45D3E1DC" w:rsidR="00681FF3" w:rsidRDefault="00D2505B" w:rsidP="00681FF3">
      <w:pPr>
        <w:numPr>
          <w:ilvl w:val="1"/>
          <w:numId w:val="1"/>
        </w:numPr>
        <w:tabs>
          <w:tab w:val="clear" w:pos="1440"/>
        </w:tabs>
        <w:spacing w:line="480" w:lineRule="auto"/>
        <w:ind w:left="0" w:firstLine="1440"/>
        <w:jc w:val="both"/>
        <w:rPr>
          <w:szCs w:val="24"/>
        </w:rPr>
      </w:pPr>
      <w:r>
        <w:rPr>
          <w:noProof/>
        </w:rPr>
        <w:drawing>
          <wp:anchor distT="0" distB="0" distL="114300" distR="114300" simplePos="0" relativeHeight="251677696" behindDoc="1" locked="0" layoutInCell="1" allowOverlap="1" wp14:anchorId="4A77124E" wp14:editId="18D19635">
            <wp:simplePos x="0" y="0"/>
            <wp:positionH relativeFrom="margin">
              <wp:posOffset>4084564</wp:posOffset>
            </wp:positionH>
            <wp:positionV relativeFrom="paragraph">
              <wp:posOffset>3395345</wp:posOffset>
            </wp:positionV>
            <wp:extent cx="1828800" cy="3176693"/>
            <wp:effectExtent l="19050" t="19050" r="19050" b="24130"/>
            <wp:wrapTight wrapText="bothSides">
              <wp:wrapPolygon edited="0">
                <wp:start x="-225" y="-130"/>
                <wp:lineTo x="-225" y="21635"/>
                <wp:lineTo x="21600" y="21635"/>
                <wp:lineTo x="21600" y="-130"/>
                <wp:lineTo x="-225" y="-13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a:extLst>
                        <a:ext uri="{28A0092B-C50C-407E-A947-70E740481C1C}">
                          <a14:useLocalDpi xmlns:a14="http://schemas.microsoft.com/office/drawing/2010/main" val="0"/>
                        </a:ext>
                      </a:extLst>
                    </a:blip>
                    <a:srcRect t="2292"/>
                    <a:stretch/>
                  </pic:blipFill>
                  <pic:spPr bwMode="auto">
                    <a:xfrm>
                      <a:off x="0" y="0"/>
                      <a:ext cx="1828800" cy="317669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1" allowOverlap="1" wp14:anchorId="44F907C0" wp14:editId="141422A0">
            <wp:simplePos x="0" y="0"/>
            <wp:positionH relativeFrom="margin">
              <wp:posOffset>2110740</wp:posOffset>
            </wp:positionH>
            <wp:positionV relativeFrom="paragraph">
              <wp:posOffset>79375</wp:posOffset>
            </wp:positionV>
            <wp:extent cx="1828800" cy="3173307"/>
            <wp:effectExtent l="19050" t="19050" r="19050" b="27305"/>
            <wp:wrapTight wrapText="bothSides">
              <wp:wrapPolygon edited="0">
                <wp:start x="-225" y="-130"/>
                <wp:lineTo x="-225" y="21656"/>
                <wp:lineTo x="21600" y="21656"/>
                <wp:lineTo x="21600" y="-130"/>
                <wp:lineTo x="-225" y="-13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a:extLst>
                        <a:ext uri="{28A0092B-C50C-407E-A947-70E740481C1C}">
                          <a14:useLocalDpi xmlns:a14="http://schemas.microsoft.com/office/drawing/2010/main" val="0"/>
                        </a:ext>
                      </a:extLst>
                    </a:blip>
                    <a:srcRect t="2396"/>
                    <a:stretch/>
                  </pic:blipFill>
                  <pic:spPr bwMode="auto">
                    <a:xfrm>
                      <a:off x="0" y="0"/>
                      <a:ext cx="1828800" cy="3173307"/>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3C527E02" wp14:editId="4E8B8226">
            <wp:simplePos x="0" y="0"/>
            <wp:positionH relativeFrom="margin">
              <wp:posOffset>4084320</wp:posOffset>
            </wp:positionH>
            <wp:positionV relativeFrom="paragraph">
              <wp:posOffset>79375</wp:posOffset>
            </wp:positionV>
            <wp:extent cx="1828800" cy="3169920"/>
            <wp:effectExtent l="19050" t="19050" r="19050" b="11430"/>
            <wp:wrapTight wrapText="bothSides">
              <wp:wrapPolygon edited="0">
                <wp:start x="-225" y="-130"/>
                <wp:lineTo x="-225" y="21548"/>
                <wp:lineTo x="21600" y="21548"/>
                <wp:lineTo x="21600" y="-130"/>
                <wp:lineTo x="-225" y="-13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a:extLst>
                        <a:ext uri="{28A0092B-C50C-407E-A947-70E740481C1C}">
                          <a14:useLocalDpi xmlns:a14="http://schemas.microsoft.com/office/drawing/2010/main" val="0"/>
                        </a:ext>
                      </a:extLst>
                    </a:blip>
                    <a:srcRect t="2500"/>
                    <a:stretch/>
                  </pic:blipFill>
                  <pic:spPr bwMode="auto">
                    <a:xfrm>
                      <a:off x="0" y="0"/>
                      <a:ext cx="1828800" cy="31699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F77FF0">
        <w:rPr>
          <w:szCs w:val="24"/>
        </w:rPr>
        <w:t xml:space="preserve">The Digital Platform does not provide a sufficient text equivalent for many important non-text elements. Providing text alternatives allows information to be rendered in a variety of ways by a variety of </w:t>
      </w:r>
      <w:r w:rsidR="00681FF3">
        <w:rPr>
          <w:szCs w:val="24"/>
        </w:rPr>
        <w:t>consumers</w:t>
      </w:r>
      <w:r w:rsidR="00681FF3" w:rsidRPr="00F77FF0">
        <w:rPr>
          <w:szCs w:val="24"/>
        </w:rPr>
        <w:t xml:space="preserve">. A person who cannot see a picture, logo, or icon can have a text alternative read aloud using synthesized speech. For example, </w:t>
      </w:r>
      <w:bookmarkStart w:id="15" w:name="_Hlk37685642"/>
      <w:r w:rsidR="00681FF3">
        <w:rPr>
          <w:szCs w:val="24"/>
        </w:rPr>
        <w:t>consumers</w:t>
      </w:r>
      <w:r w:rsidR="00681FF3" w:rsidRPr="00F77FF0">
        <w:rPr>
          <w:szCs w:val="24"/>
        </w:rPr>
        <w:t xml:space="preserve"> who perceive content visually will see </w:t>
      </w:r>
      <w:r w:rsidR="00681FF3">
        <w:rPr>
          <w:szCs w:val="24"/>
        </w:rPr>
        <w:t>various</w:t>
      </w:r>
      <w:r w:rsidR="00681FF3" w:rsidRPr="00F77FF0">
        <w:rPr>
          <w:szCs w:val="24"/>
        </w:rPr>
        <w:t xml:space="preserve"> image</w:t>
      </w:r>
      <w:r w:rsidR="00681FF3">
        <w:rPr>
          <w:szCs w:val="24"/>
        </w:rPr>
        <w:t>s</w:t>
      </w:r>
      <w:r w:rsidR="00681FF3" w:rsidRPr="00F77FF0">
        <w:rPr>
          <w:szCs w:val="24"/>
        </w:rPr>
        <w:t xml:space="preserve"> </w:t>
      </w:r>
      <w:r w:rsidR="00681FF3">
        <w:rPr>
          <w:szCs w:val="24"/>
        </w:rPr>
        <w:t xml:space="preserve">in slideshows on the </w:t>
      </w:r>
      <w:hyperlink r:id="rId54" w:history="1">
        <w:r w:rsidR="00681FF3">
          <w:rPr>
            <w:rStyle w:val="Hyperlink"/>
          </w:rPr>
          <w:t>https://www.dentyne.com/</w:t>
        </w:r>
      </w:hyperlink>
      <w:r w:rsidR="00681FF3">
        <w:t xml:space="preserve">, </w:t>
      </w:r>
      <w:hyperlink r:id="rId55" w:history="1">
        <w:r w:rsidR="00681FF3">
          <w:rPr>
            <w:rStyle w:val="Hyperlink"/>
          </w:rPr>
          <w:t>https://www.ritzcrackers.com/</w:t>
        </w:r>
      </w:hyperlink>
      <w:r w:rsidR="00681FF3">
        <w:t xml:space="preserve">, and </w:t>
      </w:r>
      <w:hyperlink r:id="rId56" w:history="1">
        <w:r w:rsidR="00681FF3">
          <w:rPr>
            <w:rStyle w:val="Hyperlink"/>
          </w:rPr>
          <w:t>https://www.gethalls.com/</w:t>
        </w:r>
      </w:hyperlink>
      <w:r w:rsidR="00681FF3">
        <w:t xml:space="preserve"> websites </w:t>
      </w:r>
      <w:r w:rsidR="00681FF3">
        <w:rPr>
          <w:szCs w:val="24"/>
        </w:rPr>
        <w:t xml:space="preserve">that lack alternative text describing their content. Because screen reader users cannot perceive the images visually, they cannot determine whether their content includes information that is material to the use of the Digital Platform. </w:t>
      </w:r>
      <w:bookmarkEnd w:id="15"/>
      <w:r w:rsidR="00681FF3">
        <w:rPr>
          <w:szCs w:val="24"/>
        </w:rPr>
        <w:t>This uncertainty frustrates screen reader users’ experience and deters them from consuming Defendant’s online services.</w:t>
      </w:r>
      <w:r w:rsidR="00681FF3">
        <w:rPr>
          <w:szCs w:val="24"/>
        </w:rPr>
        <w:br w:type="page"/>
      </w:r>
    </w:p>
    <w:p w14:paraId="215CABFA" w14:textId="1A73B7C6" w:rsidR="00681FF3" w:rsidRDefault="00D2505B" w:rsidP="00681FF3">
      <w:pPr>
        <w:numPr>
          <w:ilvl w:val="1"/>
          <w:numId w:val="1"/>
        </w:numPr>
        <w:tabs>
          <w:tab w:val="clear" w:pos="1440"/>
        </w:tabs>
        <w:spacing w:line="480" w:lineRule="auto"/>
        <w:ind w:left="0" w:firstLine="1440"/>
        <w:jc w:val="both"/>
        <w:rPr>
          <w:szCs w:val="24"/>
        </w:rPr>
      </w:pPr>
      <w:bookmarkStart w:id="16" w:name="_Hlk36614084"/>
      <w:r>
        <w:rPr>
          <w:noProof/>
        </w:rPr>
        <w:lastRenderedPageBreak/>
        <w:drawing>
          <wp:anchor distT="0" distB="0" distL="114300" distR="114300" simplePos="0" relativeHeight="251679744" behindDoc="1" locked="0" layoutInCell="1" allowOverlap="1" wp14:anchorId="6A064C07" wp14:editId="0270785A">
            <wp:simplePos x="0" y="0"/>
            <wp:positionH relativeFrom="margin">
              <wp:posOffset>4099560</wp:posOffset>
            </wp:positionH>
            <wp:positionV relativeFrom="paragraph">
              <wp:posOffset>19050</wp:posOffset>
            </wp:positionV>
            <wp:extent cx="1828800" cy="3173307"/>
            <wp:effectExtent l="19050" t="19050" r="19050" b="27305"/>
            <wp:wrapTight wrapText="bothSides">
              <wp:wrapPolygon edited="0">
                <wp:start x="-225" y="-130"/>
                <wp:lineTo x="-225" y="21656"/>
                <wp:lineTo x="21600" y="21656"/>
                <wp:lineTo x="21600" y="-130"/>
                <wp:lineTo x="-225" y="-13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a:extLst>
                        <a:ext uri="{28A0092B-C50C-407E-A947-70E740481C1C}">
                          <a14:useLocalDpi xmlns:a14="http://schemas.microsoft.com/office/drawing/2010/main" val="0"/>
                        </a:ext>
                      </a:extLst>
                    </a:blip>
                    <a:srcRect t="2396"/>
                    <a:stretch/>
                  </pic:blipFill>
                  <pic:spPr bwMode="auto">
                    <a:xfrm>
                      <a:off x="0" y="0"/>
                      <a:ext cx="1828800" cy="3173307"/>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390212">
        <w:rPr>
          <w:szCs w:val="24"/>
        </w:rPr>
        <w:t xml:space="preserve">Links and buttons on the Digital Platform do not describe their purpose. As a result, </w:t>
      </w:r>
      <w:r w:rsidR="00681FF3">
        <w:rPr>
          <w:szCs w:val="24"/>
        </w:rPr>
        <w:t>consumers</w:t>
      </w:r>
      <w:r w:rsidR="00681FF3" w:rsidRPr="00390212">
        <w:rPr>
          <w:szCs w:val="24"/>
        </w:rPr>
        <w:t xml:space="preserve"> who have a visual impairment cannot determine whether they want to follow a particular link, making navigation an exercise of trial and error. For example, </w:t>
      </w:r>
      <w:r w:rsidR="00681FF3">
        <w:rPr>
          <w:szCs w:val="24"/>
        </w:rPr>
        <w:t>consumers</w:t>
      </w:r>
      <w:r w:rsidR="00681FF3" w:rsidRPr="00390212">
        <w:rPr>
          <w:szCs w:val="24"/>
        </w:rPr>
        <w:t xml:space="preserve"> who perceive content visually will likely recognize the </w:t>
      </w:r>
      <w:r w:rsidR="00681FF3">
        <w:rPr>
          <w:szCs w:val="24"/>
        </w:rPr>
        <w:t>m</w:t>
      </w:r>
      <w:r w:rsidR="00681FF3" w:rsidRPr="00390212">
        <w:rPr>
          <w:szCs w:val="24"/>
        </w:rPr>
        <w:t xml:space="preserve">agnifying </w:t>
      </w:r>
      <w:r w:rsidR="00681FF3">
        <w:rPr>
          <w:szCs w:val="24"/>
        </w:rPr>
        <w:t>g</w:t>
      </w:r>
      <w:r w:rsidR="00681FF3" w:rsidRPr="00390212">
        <w:rPr>
          <w:szCs w:val="24"/>
        </w:rPr>
        <w:t xml:space="preserve">lass icon </w:t>
      </w:r>
      <w:r w:rsidR="00681FF3">
        <w:rPr>
          <w:szCs w:val="24"/>
        </w:rPr>
        <w:t xml:space="preserve">on Defendant’s </w:t>
      </w:r>
      <w:hyperlink r:id="rId58" w:history="1">
        <w:r w:rsidR="00681FF3">
          <w:rPr>
            <w:rStyle w:val="Hyperlink"/>
          </w:rPr>
          <w:t>https://us.greenandblacks.com/</w:t>
        </w:r>
      </w:hyperlink>
      <w:r w:rsidR="00681FF3">
        <w:t xml:space="preserve"> website </w:t>
      </w:r>
      <w:r w:rsidR="00681FF3" w:rsidRPr="00390212">
        <w:rPr>
          <w:szCs w:val="24"/>
        </w:rPr>
        <w:t xml:space="preserve">and understand that by clicking it, </w:t>
      </w:r>
      <w:r w:rsidR="00681FF3">
        <w:rPr>
          <w:szCs w:val="24"/>
        </w:rPr>
        <w:t>Defendant</w:t>
      </w:r>
      <w:r w:rsidR="00681FF3" w:rsidRPr="00390212">
        <w:rPr>
          <w:szCs w:val="24"/>
        </w:rPr>
        <w:t xml:space="preserve"> will redirect them to its online search service. Unfortunately, this icon is not labeled with sufficiently descriptive alternative text. As a result, when screen readers hover over it, they hear “</w:t>
      </w:r>
      <w:r w:rsidR="00681FF3">
        <w:rPr>
          <w:szCs w:val="24"/>
        </w:rPr>
        <w:t>unpronounceable</w:t>
      </w:r>
      <w:r w:rsidR="00681FF3" w:rsidRPr="00390212">
        <w:rPr>
          <w:szCs w:val="24"/>
        </w:rPr>
        <w:t xml:space="preserve">,” only. Because this alternative text is meaningless without additional context, </w:t>
      </w:r>
      <w:r w:rsidR="00681FF3">
        <w:rPr>
          <w:szCs w:val="24"/>
        </w:rPr>
        <w:t>Douglass</w:t>
      </w:r>
      <w:r w:rsidR="00681FF3" w:rsidRPr="00390212">
        <w:rPr>
          <w:szCs w:val="24"/>
        </w:rPr>
        <w:t xml:space="preserve"> is less likely to locate and take advantage of this important navigational tool</w:t>
      </w:r>
      <w:bookmarkEnd w:id="16"/>
      <w:r w:rsidR="00681FF3">
        <w:rPr>
          <w:szCs w:val="24"/>
        </w:rPr>
        <w:t>.</w:t>
      </w:r>
    </w:p>
    <w:p w14:paraId="7B3E6025" w14:textId="645DED96" w:rsidR="00681FF3" w:rsidRDefault="00D2505B" w:rsidP="00681FF3">
      <w:pPr>
        <w:numPr>
          <w:ilvl w:val="1"/>
          <w:numId w:val="1"/>
        </w:numPr>
        <w:tabs>
          <w:tab w:val="clear" w:pos="1440"/>
        </w:tabs>
        <w:spacing w:line="480" w:lineRule="auto"/>
        <w:ind w:left="0" w:firstLine="1440"/>
        <w:jc w:val="both"/>
        <w:rPr>
          <w:szCs w:val="24"/>
        </w:rPr>
      </w:pPr>
      <w:r>
        <w:rPr>
          <w:noProof/>
        </w:rPr>
        <w:drawing>
          <wp:anchor distT="0" distB="0" distL="114300" distR="114300" simplePos="0" relativeHeight="251681792" behindDoc="1" locked="0" layoutInCell="1" allowOverlap="1" wp14:anchorId="44816680" wp14:editId="4EABF38B">
            <wp:simplePos x="0" y="0"/>
            <wp:positionH relativeFrom="margin">
              <wp:posOffset>4099560</wp:posOffset>
            </wp:positionH>
            <wp:positionV relativeFrom="paragraph">
              <wp:posOffset>-2540</wp:posOffset>
            </wp:positionV>
            <wp:extent cx="1828800" cy="3173095"/>
            <wp:effectExtent l="19050" t="19050" r="19050" b="27305"/>
            <wp:wrapTight wrapText="bothSides">
              <wp:wrapPolygon edited="0">
                <wp:start x="-225" y="-130"/>
                <wp:lineTo x="-225" y="21656"/>
                <wp:lineTo x="21600" y="21656"/>
                <wp:lineTo x="21600" y="-130"/>
                <wp:lineTo x="-225" y="-13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a:extLst>
                        <a:ext uri="{28A0092B-C50C-407E-A947-70E740481C1C}">
                          <a14:useLocalDpi xmlns:a14="http://schemas.microsoft.com/office/drawing/2010/main" val="0"/>
                        </a:ext>
                      </a:extLst>
                    </a:blip>
                    <a:srcRect t="2396"/>
                    <a:stretch/>
                  </pic:blipFill>
                  <pic:spPr bwMode="auto">
                    <a:xfrm>
                      <a:off x="0" y="0"/>
                      <a:ext cx="1828800" cy="3173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Pr>
          <w:szCs w:val="24"/>
        </w:rPr>
        <w:t xml:space="preserve">Similarly, </w:t>
      </w:r>
      <w:bookmarkStart w:id="17" w:name="_Hlk36287512"/>
      <w:r w:rsidR="00681FF3">
        <w:rPr>
          <w:szCs w:val="24"/>
        </w:rPr>
        <w:t>consumers</w:t>
      </w:r>
      <w:r w:rsidR="00681FF3" w:rsidRPr="00F77FF0">
        <w:rPr>
          <w:szCs w:val="24"/>
        </w:rPr>
        <w:t xml:space="preserve"> who perceive content visually will likely recognize the </w:t>
      </w:r>
      <w:r w:rsidR="00681FF3">
        <w:rPr>
          <w:szCs w:val="24"/>
        </w:rPr>
        <w:t>m</w:t>
      </w:r>
      <w:r w:rsidR="00681FF3" w:rsidRPr="00F77FF0">
        <w:rPr>
          <w:szCs w:val="24"/>
        </w:rPr>
        <w:t xml:space="preserve">enu icon </w:t>
      </w:r>
      <w:r w:rsidR="00681FF3">
        <w:rPr>
          <w:szCs w:val="24"/>
        </w:rPr>
        <w:t xml:space="preserve">at the </w:t>
      </w:r>
      <w:hyperlink r:id="rId60" w:history="1">
        <w:r w:rsidR="00681FF3">
          <w:rPr>
            <w:rStyle w:val="Hyperlink"/>
          </w:rPr>
          <w:t>https://www.goodthins.com/</w:t>
        </w:r>
      </w:hyperlink>
      <w:r w:rsidR="00681FF3">
        <w:t xml:space="preserve"> website </w:t>
      </w:r>
      <w:r w:rsidR="00681FF3" w:rsidRPr="00F77FF0">
        <w:rPr>
          <w:szCs w:val="24"/>
        </w:rPr>
        <w:t xml:space="preserve">and understand that by clicking it, </w:t>
      </w:r>
      <w:r w:rsidR="00681FF3" w:rsidRPr="00CB6F26">
        <w:rPr>
          <w:szCs w:val="24"/>
        </w:rPr>
        <w:t xml:space="preserve">Defendant </w:t>
      </w:r>
      <w:r w:rsidR="00681FF3" w:rsidRPr="00F77FF0">
        <w:rPr>
          <w:szCs w:val="24"/>
        </w:rPr>
        <w:t xml:space="preserve">will display a list of various sections of the </w:t>
      </w:r>
      <w:r w:rsidR="00681FF3">
        <w:rPr>
          <w:szCs w:val="24"/>
        </w:rPr>
        <w:t>website</w:t>
      </w:r>
      <w:r w:rsidR="00681FF3" w:rsidRPr="00F77FF0">
        <w:rPr>
          <w:szCs w:val="24"/>
        </w:rPr>
        <w:t xml:space="preserve">, like </w:t>
      </w:r>
      <w:r w:rsidR="00681FF3">
        <w:rPr>
          <w:szCs w:val="24"/>
        </w:rPr>
        <w:t>Products and Contact Us</w:t>
      </w:r>
      <w:r w:rsidR="00681FF3" w:rsidRPr="00F77FF0">
        <w:rPr>
          <w:szCs w:val="24"/>
        </w:rPr>
        <w:t xml:space="preserve">. </w:t>
      </w:r>
      <w:bookmarkStart w:id="18" w:name="_Hlk37150590"/>
      <w:r w:rsidR="00681FF3" w:rsidRPr="00F77FF0">
        <w:rPr>
          <w:szCs w:val="24"/>
        </w:rPr>
        <w:t xml:space="preserve">Unfortunately, this icon is not labeled with sufficiently descriptive alternative text. As a result, when screen readers hover over it, </w:t>
      </w:r>
      <w:r w:rsidR="00681FF3">
        <w:rPr>
          <w:szCs w:val="24"/>
        </w:rPr>
        <w:t>screen readers</w:t>
      </w:r>
      <w:r w:rsidR="00681FF3" w:rsidRPr="00CB6F26">
        <w:rPr>
          <w:szCs w:val="24"/>
        </w:rPr>
        <w:t xml:space="preserve"> </w:t>
      </w:r>
      <w:r w:rsidR="00681FF3" w:rsidRPr="00F77FF0">
        <w:rPr>
          <w:szCs w:val="24"/>
        </w:rPr>
        <w:t>announce “</w:t>
      </w:r>
      <w:r w:rsidR="00681FF3">
        <w:rPr>
          <w:szCs w:val="24"/>
        </w:rPr>
        <w:t>button</w:t>
      </w:r>
      <w:r w:rsidR="00681FF3" w:rsidRPr="00F77FF0">
        <w:rPr>
          <w:szCs w:val="24"/>
        </w:rPr>
        <w:t>,” only. Because this alternative text is meaningless without additional context, Douglass is less likely to locate and take advantage of this important navigational tool</w:t>
      </w:r>
      <w:bookmarkEnd w:id="17"/>
      <w:bookmarkEnd w:id="18"/>
      <w:r w:rsidR="00681FF3">
        <w:rPr>
          <w:szCs w:val="24"/>
        </w:rPr>
        <w:t>.</w:t>
      </w:r>
    </w:p>
    <w:p w14:paraId="22FB72D7" w14:textId="5A6A11F3" w:rsidR="00681FF3" w:rsidRDefault="00D2505B" w:rsidP="00681FF3">
      <w:pPr>
        <w:numPr>
          <w:ilvl w:val="1"/>
          <w:numId w:val="1"/>
        </w:numPr>
        <w:tabs>
          <w:tab w:val="clear" w:pos="1440"/>
        </w:tabs>
        <w:spacing w:line="480" w:lineRule="auto"/>
        <w:ind w:left="0" w:firstLine="1440"/>
        <w:jc w:val="both"/>
        <w:rPr>
          <w:szCs w:val="24"/>
        </w:rPr>
      </w:pPr>
      <w:bookmarkStart w:id="19" w:name="_Hlk35954316"/>
      <w:bookmarkStart w:id="20" w:name="_Hlk37236517"/>
      <w:r>
        <w:rPr>
          <w:noProof/>
        </w:rPr>
        <w:lastRenderedPageBreak/>
        <w:drawing>
          <wp:anchor distT="0" distB="0" distL="114300" distR="114300" simplePos="0" relativeHeight="251683840" behindDoc="1" locked="0" layoutInCell="1" allowOverlap="1" wp14:anchorId="02016EEA" wp14:editId="460327A8">
            <wp:simplePos x="0" y="0"/>
            <wp:positionH relativeFrom="margin">
              <wp:posOffset>4084320</wp:posOffset>
            </wp:positionH>
            <wp:positionV relativeFrom="paragraph">
              <wp:posOffset>41275</wp:posOffset>
            </wp:positionV>
            <wp:extent cx="1828800" cy="3180080"/>
            <wp:effectExtent l="19050" t="19050" r="19050" b="20320"/>
            <wp:wrapTight wrapText="bothSides">
              <wp:wrapPolygon edited="0">
                <wp:start x="-225" y="-129"/>
                <wp:lineTo x="-225" y="21609"/>
                <wp:lineTo x="21600" y="21609"/>
                <wp:lineTo x="21600" y="-129"/>
                <wp:lineTo x="-225" y="-12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1">
                      <a:extLst>
                        <a:ext uri="{28A0092B-C50C-407E-A947-70E740481C1C}">
                          <a14:useLocalDpi xmlns:a14="http://schemas.microsoft.com/office/drawing/2010/main" val="0"/>
                        </a:ext>
                      </a:extLst>
                    </a:blip>
                    <a:srcRect t="2187"/>
                    <a:stretch/>
                  </pic:blipFill>
                  <pic:spPr bwMode="auto">
                    <a:xfrm>
                      <a:off x="0" y="0"/>
                      <a:ext cx="1828800" cy="31800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D92C4D">
        <w:rPr>
          <w:szCs w:val="24"/>
        </w:rPr>
        <w:t>The Digital Platform does not include sufficiently descriptive labels or instructions when content requires a shopper to submit information or activate particular features. Without these instructions, screen reader users cannot fully navigate the webpages</w:t>
      </w:r>
      <w:bookmarkEnd w:id="19"/>
      <w:r w:rsidR="00681FF3" w:rsidRPr="00D92C4D">
        <w:rPr>
          <w:szCs w:val="24"/>
        </w:rPr>
        <w:t xml:space="preserve">. For example, </w:t>
      </w:r>
      <w:r w:rsidR="00681FF3">
        <w:rPr>
          <w:szCs w:val="24"/>
        </w:rPr>
        <w:t xml:space="preserve">Defendant </w:t>
      </w:r>
      <w:r w:rsidR="00681FF3" w:rsidRPr="00D92C4D">
        <w:rPr>
          <w:szCs w:val="24"/>
        </w:rPr>
        <w:t xml:space="preserve">maintains an FAQ, or frequently asked question, section on its </w:t>
      </w:r>
      <w:hyperlink r:id="rId62" w:history="1">
        <w:r w:rsidR="00681FF3">
          <w:rPr>
            <w:rStyle w:val="Hyperlink"/>
          </w:rPr>
          <w:t>https://www.triscuit.com/</w:t>
        </w:r>
      </w:hyperlink>
      <w:r w:rsidR="00681FF3">
        <w:t xml:space="preserve"> website</w:t>
      </w:r>
      <w:r w:rsidR="00681FF3" w:rsidRPr="00D92C4D">
        <w:rPr>
          <w:szCs w:val="24"/>
        </w:rPr>
        <w:t xml:space="preserve">. </w:t>
      </w:r>
      <w:r w:rsidR="00681FF3">
        <w:rPr>
          <w:szCs w:val="24"/>
        </w:rPr>
        <w:t>Consumers</w:t>
      </w:r>
      <w:r w:rsidR="00681FF3" w:rsidRPr="00D92C4D">
        <w:rPr>
          <w:szCs w:val="24"/>
        </w:rPr>
        <w:t xml:space="preserve"> may access this information to learn more about various topics relating to </w:t>
      </w:r>
      <w:r w:rsidR="00681FF3">
        <w:rPr>
          <w:szCs w:val="24"/>
        </w:rPr>
        <w:t>Defendant’s products</w:t>
      </w:r>
      <w:r w:rsidR="00681FF3" w:rsidRPr="00D92C4D">
        <w:rPr>
          <w:szCs w:val="24"/>
        </w:rPr>
        <w:t xml:space="preserve">, like </w:t>
      </w:r>
      <w:r w:rsidR="00681FF3">
        <w:rPr>
          <w:szCs w:val="24"/>
        </w:rPr>
        <w:t>the GMOs they contain</w:t>
      </w:r>
      <w:r w:rsidR="00681FF3" w:rsidRPr="00D92C4D">
        <w:rPr>
          <w:szCs w:val="24"/>
        </w:rPr>
        <w:t xml:space="preserve">. </w:t>
      </w:r>
      <w:r w:rsidR="00681FF3">
        <w:rPr>
          <w:szCs w:val="24"/>
        </w:rPr>
        <w:t>Consumers</w:t>
      </w:r>
      <w:r w:rsidR="00681FF3" w:rsidRPr="00D92C4D">
        <w:rPr>
          <w:szCs w:val="24"/>
        </w:rPr>
        <w:t xml:space="preserve"> who perceive content visually will notice the </w:t>
      </w:r>
      <w:r w:rsidR="00681FF3">
        <w:rPr>
          <w:szCs w:val="24"/>
        </w:rPr>
        <w:t>plus signs</w:t>
      </w:r>
      <w:r w:rsidR="00681FF3" w:rsidRPr="00D92C4D">
        <w:rPr>
          <w:szCs w:val="24"/>
        </w:rPr>
        <w:t xml:space="preserve"> beside each question and understand that by clicking the</w:t>
      </w:r>
      <w:r w:rsidR="00681FF3">
        <w:rPr>
          <w:szCs w:val="24"/>
        </w:rPr>
        <w:t>se icons</w:t>
      </w:r>
      <w:r w:rsidR="00681FF3" w:rsidRPr="00D92C4D">
        <w:rPr>
          <w:szCs w:val="24"/>
        </w:rPr>
        <w:t xml:space="preserve">, </w:t>
      </w:r>
      <w:r w:rsidR="00681FF3">
        <w:rPr>
          <w:szCs w:val="24"/>
        </w:rPr>
        <w:t xml:space="preserve">Defendant </w:t>
      </w:r>
      <w:r w:rsidR="00681FF3" w:rsidRPr="00D92C4D">
        <w:rPr>
          <w:szCs w:val="24"/>
        </w:rPr>
        <w:t xml:space="preserve">will display the corresponding answer to the question. Unfortunately, </w:t>
      </w:r>
      <w:r w:rsidR="00681FF3">
        <w:rPr>
          <w:szCs w:val="24"/>
        </w:rPr>
        <w:t>Defendant</w:t>
      </w:r>
      <w:r w:rsidR="00681FF3" w:rsidRPr="00D92C4D">
        <w:rPr>
          <w:szCs w:val="24"/>
        </w:rPr>
        <w:t xml:space="preserve"> does not communicate this information in an alternative format which </w:t>
      </w:r>
      <w:r w:rsidR="00681FF3">
        <w:rPr>
          <w:szCs w:val="24"/>
        </w:rPr>
        <w:t>consumers</w:t>
      </w:r>
      <w:r w:rsidR="00681FF3" w:rsidRPr="00D92C4D">
        <w:rPr>
          <w:szCs w:val="24"/>
        </w:rPr>
        <w:t xml:space="preserve"> who have a visual impairment may understand. As a result, </w:t>
      </w:r>
      <w:r w:rsidR="00681FF3">
        <w:rPr>
          <w:szCs w:val="24"/>
        </w:rPr>
        <w:t>Douglass</w:t>
      </w:r>
      <w:r w:rsidR="00681FF3" w:rsidRPr="00D92C4D">
        <w:rPr>
          <w:szCs w:val="24"/>
        </w:rPr>
        <w:t xml:space="preserve"> is less likely to understand that an additional interaction is necessary to reveal answers to the questions he is researching</w:t>
      </w:r>
      <w:bookmarkEnd w:id="20"/>
      <w:r w:rsidR="00681FF3">
        <w:rPr>
          <w:szCs w:val="24"/>
        </w:rPr>
        <w:t>.</w:t>
      </w:r>
    </w:p>
    <w:p w14:paraId="42A28526" w14:textId="6E8BF394" w:rsidR="00C76084" w:rsidRDefault="00D2505B" w:rsidP="00681FF3">
      <w:pPr>
        <w:numPr>
          <w:ilvl w:val="1"/>
          <w:numId w:val="1"/>
        </w:numPr>
        <w:tabs>
          <w:tab w:val="clear" w:pos="1440"/>
        </w:tabs>
        <w:spacing w:line="480" w:lineRule="auto"/>
        <w:ind w:left="0" w:firstLine="1440"/>
        <w:jc w:val="both"/>
        <w:rPr>
          <w:szCs w:val="24"/>
        </w:rPr>
      </w:pPr>
      <w:bookmarkStart w:id="21" w:name="_Hlk37671972"/>
      <w:r>
        <w:rPr>
          <w:noProof/>
        </w:rPr>
        <w:drawing>
          <wp:anchor distT="0" distB="0" distL="114300" distR="114300" simplePos="0" relativeHeight="251685888" behindDoc="1" locked="0" layoutInCell="1" allowOverlap="1" wp14:anchorId="5B918C94" wp14:editId="1F39A17D">
            <wp:simplePos x="0" y="0"/>
            <wp:positionH relativeFrom="margin">
              <wp:posOffset>4130040</wp:posOffset>
            </wp:positionH>
            <wp:positionV relativeFrom="paragraph">
              <wp:posOffset>-231140</wp:posOffset>
            </wp:positionV>
            <wp:extent cx="1828800" cy="3176693"/>
            <wp:effectExtent l="19050" t="19050" r="19050" b="24130"/>
            <wp:wrapTight wrapText="bothSides">
              <wp:wrapPolygon edited="0">
                <wp:start x="-225" y="-130"/>
                <wp:lineTo x="-225" y="21635"/>
                <wp:lineTo x="21600" y="21635"/>
                <wp:lineTo x="21600" y="-130"/>
                <wp:lineTo x="-225" y="-13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3">
                      <a:extLst>
                        <a:ext uri="{28A0092B-C50C-407E-A947-70E740481C1C}">
                          <a14:useLocalDpi xmlns:a14="http://schemas.microsoft.com/office/drawing/2010/main" val="0"/>
                        </a:ext>
                      </a:extLst>
                    </a:blip>
                    <a:srcRect t="2292"/>
                    <a:stretch/>
                  </pic:blipFill>
                  <pic:spPr bwMode="auto">
                    <a:xfrm>
                      <a:off x="0" y="0"/>
                      <a:ext cx="1828800" cy="317669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FF3" w:rsidRPr="00F77FF0">
        <w:rPr>
          <w:szCs w:val="24"/>
        </w:rPr>
        <w:t xml:space="preserve">The Digital Platform uses visual cues as the only means of conveying information, indicating an action, prompting a response, or distinguishing a visual element. Providing information conveyed visually through another means is necessary to ensure that </w:t>
      </w:r>
      <w:r w:rsidR="00681FF3">
        <w:rPr>
          <w:szCs w:val="24"/>
        </w:rPr>
        <w:t>consumers</w:t>
      </w:r>
      <w:r w:rsidR="00681FF3" w:rsidRPr="00F77FF0">
        <w:rPr>
          <w:szCs w:val="24"/>
        </w:rPr>
        <w:t xml:space="preserve"> who cannot perceive visual cues can still perceive important information in a non-visual manner</w:t>
      </w:r>
      <w:bookmarkEnd w:id="21"/>
      <w:r w:rsidR="00681FF3" w:rsidRPr="00F77FF0">
        <w:rPr>
          <w:szCs w:val="24"/>
        </w:rPr>
        <w:t xml:space="preserve">. For example, the </w:t>
      </w:r>
      <w:r w:rsidR="00681FF3">
        <w:t xml:space="preserve"> </w:t>
      </w:r>
      <w:hyperlink r:id="rId64" w:history="1">
        <w:r w:rsidR="00681FF3">
          <w:rPr>
            <w:rStyle w:val="Hyperlink"/>
          </w:rPr>
          <w:t>https://sourpatchkids.com/</w:t>
        </w:r>
      </w:hyperlink>
      <w:r w:rsidR="00681FF3">
        <w:t xml:space="preserve"> website </w:t>
      </w:r>
      <w:r w:rsidR="00681FF3" w:rsidRPr="00F77FF0">
        <w:rPr>
          <w:szCs w:val="24"/>
        </w:rPr>
        <w:t xml:space="preserve">allows </w:t>
      </w:r>
      <w:r w:rsidR="00681FF3">
        <w:rPr>
          <w:szCs w:val="24"/>
        </w:rPr>
        <w:t>consumers</w:t>
      </w:r>
      <w:r w:rsidR="00681FF3" w:rsidRPr="00F77FF0">
        <w:rPr>
          <w:szCs w:val="24"/>
        </w:rPr>
        <w:t xml:space="preserve"> to select the </w:t>
      </w:r>
      <w:r w:rsidR="00681FF3">
        <w:rPr>
          <w:szCs w:val="24"/>
        </w:rPr>
        <w:t>size</w:t>
      </w:r>
      <w:r w:rsidR="00681FF3" w:rsidRPr="00F77FF0">
        <w:rPr>
          <w:szCs w:val="24"/>
        </w:rPr>
        <w:t xml:space="preserve"> of the </w:t>
      </w:r>
      <w:r w:rsidR="00681FF3">
        <w:rPr>
          <w:szCs w:val="24"/>
        </w:rPr>
        <w:t>apparel</w:t>
      </w:r>
      <w:r w:rsidR="00681FF3" w:rsidRPr="00F77FF0">
        <w:rPr>
          <w:szCs w:val="24"/>
        </w:rPr>
        <w:t xml:space="preserve"> they wish to </w:t>
      </w:r>
      <w:r w:rsidR="00681FF3" w:rsidRPr="00F77FF0">
        <w:rPr>
          <w:szCs w:val="24"/>
        </w:rPr>
        <w:lastRenderedPageBreak/>
        <w:t xml:space="preserve">purchase. </w:t>
      </w:r>
      <w:r w:rsidR="00681FF3">
        <w:rPr>
          <w:szCs w:val="24"/>
        </w:rPr>
        <w:t>Defendant</w:t>
      </w:r>
      <w:r w:rsidR="00681FF3" w:rsidRPr="00F77FF0">
        <w:rPr>
          <w:szCs w:val="24"/>
        </w:rPr>
        <w:t xml:space="preserve"> identifies the selected </w:t>
      </w:r>
      <w:r w:rsidR="00681FF3">
        <w:rPr>
          <w:szCs w:val="24"/>
        </w:rPr>
        <w:t>size</w:t>
      </w:r>
      <w:r w:rsidR="00681FF3" w:rsidRPr="00F77FF0">
        <w:rPr>
          <w:szCs w:val="24"/>
        </w:rPr>
        <w:t xml:space="preserve"> visually by placing a </w:t>
      </w:r>
      <w:r w:rsidR="00681FF3">
        <w:rPr>
          <w:szCs w:val="24"/>
        </w:rPr>
        <w:t>black border</w:t>
      </w:r>
      <w:r w:rsidR="00681FF3" w:rsidRPr="00F77FF0">
        <w:rPr>
          <w:szCs w:val="24"/>
        </w:rPr>
        <w:t xml:space="preserve"> around the </w:t>
      </w:r>
      <w:r w:rsidR="00681FF3">
        <w:rPr>
          <w:szCs w:val="24"/>
        </w:rPr>
        <w:t>size</w:t>
      </w:r>
      <w:r w:rsidR="00681FF3" w:rsidRPr="00F77FF0">
        <w:rPr>
          <w:szCs w:val="24"/>
        </w:rPr>
        <w:t xml:space="preserve"> a shopper selects</w:t>
      </w:r>
      <w:r w:rsidR="00681FF3">
        <w:rPr>
          <w:szCs w:val="24"/>
        </w:rPr>
        <w:t>, and changing the background of the consumer’s selection from gray to white</w:t>
      </w:r>
      <w:r w:rsidR="00681FF3" w:rsidRPr="00F77FF0">
        <w:rPr>
          <w:szCs w:val="24"/>
        </w:rPr>
        <w:t xml:space="preserve">. Unfortunately, </w:t>
      </w:r>
      <w:r w:rsidR="00681FF3">
        <w:rPr>
          <w:szCs w:val="24"/>
        </w:rPr>
        <w:t>Defendant</w:t>
      </w:r>
      <w:r w:rsidR="00681FF3" w:rsidRPr="00F77FF0">
        <w:rPr>
          <w:szCs w:val="24"/>
        </w:rPr>
        <w:t xml:space="preserve"> fails to include alternative text to identify this selection in a non-visual means. This makes it difficult and frustrating, if not impossible, for </w:t>
      </w:r>
      <w:r w:rsidR="00681FF3">
        <w:rPr>
          <w:szCs w:val="24"/>
        </w:rPr>
        <w:t>Douglass</w:t>
      </w:r>
      <w:r w:rsidR="00681FF3" w:rsidRPr="00F77FF0">
        <w:rPr>
          <w:szCs w:val="24"/>
        </w:rPr>
        <w:t xml:space="preserve"> to verify what </w:t>
      </w:r>
      <w:r w:rsidR="00681FF3">
        <w:rPr>
          <w:szCs w:val="24"/>
        </w:rPr>
        <w:t>size apparel</w:t>
      </w:r>
      <w:r w:rsidR="00681FF3" w:rsidRPr="00F77FF0">
        <w:rPr>
          <w:szCs w:val="24"/>
        </w:rPr>
        <w:t xml:space="preserve"> he selected, if an</w:t>
      </w:r>
      <w:r w:rsidR="00681FF3">
        <w:rPr>
          <w:szCs w:val="24"/>
        </w:rPr>
        <w:t>y</w:t>
      </w:r>
      <w:r w:rsidR="00454973">
        <w:rPr>
          <w:szCs w:val="24"/>
        </w:rPr>
        <w:t>.</w:t>
      </w:r>
    </w:p>
    <w:p w14:paraId="66EB4BEF" w14:textId="30F9E9AF" w:rsidR="00E47627" w:rsidRPr="00E47627" w:rsidRDefault="00E47627" w:rsidP="00C76084">
      <w:pPr>
        <w:numPr>
          <w:ilvl w:val="0"/>
          <w:numId w:val="1"/>
        </w:numPr>
        <w:tabs>
          <w:tab w:val="clear" w:pos="1440"/>
        </w:tabs>
        <w:spacing w:line="480" w:lineRule="auto"/>
        <w:ind w:left="0" w:firstLine="720"/>
        <w:jc w:val="both"/>
        <w:rPr>
          <w:szCs w:val="24"/>
        </w:rPr>
      </w:pPr>
      <w:r w:rsidRPr="000802A6">
        <w:t>Consistent with public policy encouraging the resolution of “dispute[s] informally by means of a letter[,]”</w:t>
      </w:r>
      <w:r w:rsidRPr="000802A6">
        <w:rPr>
          <w:i/>
          <w:iCs/>
        </w:rPr>
        <w:t xml:space="preserve"> see Yahoo! Inc. v. La Ligue </w:t>
      </w:r>
      <w:proofErr w:type="spellStart"/>
      <w:r w:rsidRPr="000802A6">
        <w:rPr>
          <w:i/>
          <w:iCs/>
        </w:rPr>
        <w:t>Contre</w:t>
      </w:r>
      <w:proofErr w:type="spellEnd"/>
      <w:r w:rsidRPr="000802A6">
        <w:rPr>
          <w:i/>
          <w:iCs/>
        </w:rPr>
        <w:t xml:space="preserve"> Le </w:t>
      </w:r>
      <w:proofErr w:type="spellStart"/>
      <w:r w:rsidRPr="000802A6">
        <w:rPr>
          <w:i/>
          <w:iCs/>
        </w:rPr>
        <w:t>Racisme</w:t>
      </w:r>
      <w:proofErr w:type="spellEnd"/>
      <w:r w:rsidRPr="000802A6">
        <w:rPr>
          <w:i/>
          <w:iCs/>
        </w:rPr>
        <w:t xml:space="preserve"> Et </w:t>
      </w:r>
      <w:proofErr w:type="spellStart"/>
      <w:r w:rsidRPr="000802A6">
        <w:rPr>
          <w:i/>
          <w:iCs/>
        </w:rPr>
        <w:t>L’Antisemitisme</w:t>
      </w:r>
      <w:proofErr w:type="spellEnd"/>
      <w:r w:rsidRPr="000802A6">
        <w:t>, 433 F.3d 1199, 1208 (9th Cir. 2006), which “prelitigation solutions [are] clearly, the most expedient and cost-effective means of resolving” website accessibility claims, </w:t>
      </w:r>
      <w:r w:rsidRPr="000802A6">
        <w:rPr>
          <w:i/>
          <w:iCs/>
        </w:rPr>
        <w:t>see Sipe v. Am. Casino &amp; Ent. Properties</w:t>
      </w:r>
      <w:r w:rsidRPr="000802A6">
        <w:t>, LLC, 2016 WL 1580349, *2-3 (W.D. Pa. Apr. 20, 2016), </w:t>
      </w:r>
      <w:r>
        <w:t xml:space="preserve">Douglass contacted Defendant about its inaccessible Digital Platform in </w:t>
      </w:r>
      <w:r w:rsidRPr="00A378FE">
        <w:rPr>
          <w:i/>
          <w:iCs/>
        </w:rPr>
        <w:t xml:space="preserve">June </w:t>
      </w:r>
      <w:r w:rsidR="00C80F6E" w:rsidRPr="00A378FE">
        <w:rPr>
          <w:i/>
          <w:iCs/>
        </w:rPr>
        <w:t>2020</w:t>
      </w:r>
      <w:r>
        <w:t>.</w:t>
      </w:r>
    </w:p>
    <w:p w14:paraId="65DCC556" w14:textId="2814C999" w:rsidR="00C76084" w:rsidRPr="00C76084" w:rsidRDefault="00E47627" w:rsidP="00C76084">
      <w:pPr>
        <w:numPr>
          <w:ilvl w:val="0"/>
          <w:numId w:val="1"/>
        </w:numPr>
        <w:tabs>
          <w:tab w:val="clear" w:pos="1440"/>
        </w:tabs>
        <w:spacing w:line="480" w:lineRule="auto"/>
        <w:ind w:left="0" w:firstLine="720"/>
        <w:jc w:val="both"/>
        <w:rPr>
          <w:szCs w:val="24"/>
        </w:rPr>
      </w:pPr>
      <w:r>
        <w:rPr>
          <w:szCs w:val="24"/>
        </w:rPr>
        <w:t xml:space="preserve">Notwithstanding this pre-suit notice, </w:t>
      </w:r>
      <w:r w:rsidR="00C76084" w:rsidRPr="00C76084">
        <w:rPr>
          <w:szCs w:val="24"/>
        </w:rPr>
        <w:t xml:space="preserve">Douglass </w:t>
      </w:r>
      <w:r>
        <w:rPr>
          <w:szCs w:val="24"/>
        </w:rPr>
        <w:t xml:space="preserve">found the Digital Platform still denies him full and equal access when he returned to it in </w:t>
      </w:r>
      <w:r w:rsidR="00C80F6E" w:rsidRPr="00A378FE">
        <w:rPr>
          <w:i/>
          <w:iCs/>
          <w:szCs w:val="24"/>
        </w:rPr>
        <w:t>June</w:t>
      </w:r>
      <w:r w:rsidRPr="00A378FE">
        <w:rPr>
          <w:i/>
          <w:iCs/>
          <w:szCs w:val="24"/>
        </w:rPr>
        <w:t xml:space="preserve"> 2022</w:t>
      </w:r>
      <w:r>
        <w:rPr>
          <w:szCs w:val="24"/>
        </w:rPr>
        <w:t xml:space="preserve">. Douglass’s experience is consistent with the investigation of his counsel, which confirms that </w:t>
      </w:r>
      <w:r w:rsidR="00C76084">
        <w:t xml:space="preserve">screen reader auxiliary aids still cannot access important content on the Digital Platform using </w:t>
      </w:r>
      <w:r w:rsidR="00A378FE">
        <w:t>two</w:t>
      </w:r>
      <w:r w:rsidR="00C76084">
        <w:t xml:space="preserve"> of the most common screen readers on the market today: VoiceOver</w:t>
      </w:r>
      <w:r w:rsidR="004362C4">
        <w:t xml:space="preserve"> </w:t>
      </w:r>
      <w:r w:rsidR="00C76084">
        <w:t>and JAWS.</w:t>
      </w:r>
    </w:p>
    <w:p w14:paraId="6A69C169" w14:textId="762DCC62" w:rsidR="00C76084" w:rsidRPr="00C76084" w:rsidRDefault="00C76084" w:rsidP="00C76084">
      <w:pPr>
        <w:spacing w:line="480" w:lineRule="auto"/>
        <w:jc w:val="center"/>
        <w:rPr>
          <w:szCs w:val="24"/>
        </w:rPr>
      </w:pPr>
      <w:r w:rsidRPr="00DE60AA">
        <w:rPr>
          <w:i/>
          <w:iCs/>
        </w:rPr>
        <w:t>VoiceOver</w:t>
      </w:r>
    </w:p>
    <w:p w14:paraId="6A14296A" w14:textId="070BFA16" w:rsidR="004362C4" w:rsidRDefault="004362C4" w:rsidP="004362C4">
      <w:pPr>
        <w:numPr>
          <w:ilvl w:val="1"/>
          <w:numId w:val="1"/>
        </w:numPr>
        <w:tabs>
          <w:tab w:val="clear" w:pos="1440"/>
        </w:tabs>
        <w:spacing w:line="480" w:lineRule="auto"/>
        <w:ind w:left="0" w:firstLine="1440"/>
        <w:jc w:val="both"/>
        <w:rPr>
          <w:szCs w:val="24"/>
        </w:rPr>
      </w:pPr>
      <w:r w:rsidRPr="00E902C5">
        <w:rPr>
          <w:szCs w:val="24"/>
        </w:rPr>
        <w:t xml:space="preserve">Defendant prevents screen reader users from accessing some primary content. For example, when consumers visit </w:t>
      </w:r>
      <w:hyperlink r:id="rId65" w:history="1">
        <w:r w:rsidRPr="00847D4B">
          <w:rPr>
            <w:rStyle w:val="Hyperlink"/>
            <w:szCs w:val="24"/>
          </w:rPr>
          <w:t>www.dentyne.com</w:t>
        </w:r>
      </w:hyperlink>
      <w:r>
        <w:rPr>
          <w:szCs w:val="24"/>
        </w:rPr>
        <w:t xml:space="preserve">, </w:t>
      </w:r>
      <w:hyperlink r:id="rId66" w:history="1">
        <w:r w:rsidRPr="00847D4B">
          <w:rPr>
            <w:rStyle w:val="Hyperlink"/>
            <w:szCs w:val="24"/>
          </w:rPr>
          <w:t>www.tridentgum.com</w:t>
        </w:r>
      </w:hyperlink>
      <w:r>
        <w:rPr>
          <w:szCs w:val="24"/>
        </w:rPr>
        <w:t xml:space="preserve">, and </w:t>
      </w:r>
      <w:hyperlink r:id="rId67" w:history="1">
        <w:r w:rsidRPr="00847D4B">
          <w:rPr>
            <w:rStyle w:val="Hyperlink"/>
            <w:szCs w:val="24"/>
          </w:rPr>
          <w:t>www.wheatthins.com</w:t>
        </w:r>
      </w:hyperlink>
      <w:r>
        <w:rPr>
          <w:szCs w:val="24"/>
        </w:rPr>
        <w:t xml:space="preserve"> </w:t>
      </w:r>
      <w:r w:rsidRPr="00E902C5">
        <w:rPr>
          <w:szCs w:val="24"/>
        </w:rPr>
        <w:t>from a new IP address, Defendant displays pop-up message</w:t>
      </w:r>
      <w:r w:rsidR="00A378FE">
        <w:rPr>
          <w:szCs w:val="24"/>
        </w:rPr>
        <w:t>s</w:t>
      </w:r>
      <w:r w:rsidRPr="00E902C5">
        <w:rPr>
          <w:szCs w:val="24"/>
        </w:rPr>
        <w:t xml:space="preserve"> </w:t>
      </w:r>
      <w:r>
        <w:rPr>
          <w:szCs w:val="24"/>
        </w:rPr>
        <w:t>notifying</w:t>
      </w:r>
      <w:r w:rsidRPr="00E902C5">
        <w:rPr>
          <w:szCs w:val="24"/>
        </w:rPr>
        <w:t xml:space="preserve"> them of its cookies policy. Consumers who perceive content visually can click the </w:t>
      </w:r>
      <w:r w:rsidR="00A378FE">
        <w:rPr>
          <w:szCs w:val="24"/>
        </w:rPr>
        <w:t>pop-ups</w:t>
      </w:r>
      <w:r w:rsidRPr="00E902C5">
        <w:rPr>
          <w:szCs w:val="24"/>
        </w:rPr>
        <w:t xml:space="preserve"> to learn more about how Defendant collects and shares their personal information with social media, advertising, and analytics partners. Unfortunately, Defendant does not alert screen readers of </w:t>
      </w:r>
      <w:r w:rsidR="00A378FE">
        <w:rPr>
          <w:szCs w:val="24"/>
        </w:rPr>
        <w:t>these</w:t>
      </w:r>
      <w:r w:rsidRPr="00E902C5">
        <w:rPr>
          <w:szCs w:val="24"/>
        </w:rPr>
        <w:t xml:space="preserve"> pop-up </w:t>
      </w:r>
      <w:r w:rsidRPr="00E902C5">
        <w:rPr>
          <w:szCs w:val="24"/>
        </w:rPr>
        <w:lastRenderedPageBreak/>
        <w:t>message</w:t>
      </w:r>
      <w:r w:rsidR="00A378FE">
        <w:rPr>
          <w:szCs w:val="24"/>
        </w:rPr>
        <w:t>s</w:t>
      </w:r>
      <w:r w:rsidRPr="00E902C5">
        <w:rPr>
          <w:szCs w:val="24"/>
        </w:rPr>
        <w:t xml:space="preserve">. Instead, screen readers remain focused on the </w:t>
      </w:r>
      <w:r w:rsidR="00A378FE">
        <w:rPr>
          <w:szCs w:val="24"/>
        </w:rPr>
        <w:t>websites’</w:t>
      </w:r>
      <w:r w:rsidRPr="00E902C5">
        <w:rPr>
          <w:szCs w:val="24"/>
        </w:rPr>
        <w:t xml:space="preserve"> underlying page</w:t>
      </w:r>
      <w:r w:rsidR="00A378FE">
        <w:rPr>
          <w:szCs w:val="24"/>
        </w:rPr>
        <w:t>s</w:t>
      </w:r>
      <w:r w:rsidRPr="00E902C5">
        <w:rPr>
          <w:szCs w:val="24"/>
        </w:rPr>
        <w:t>, making the pop-up</w:t>
      </w:r>
      <w:r w:rsidR="00A378FE">
        <w:rPr>
          <w:szCs w:val="24"/>
        </w:rPr>
        <w:t>s</w:t>
      </w:r>
      <w:r w:rsidRPr="00E902C5">
        <w:rPr>
          <w:szCs w:val="24"/>
        </w:rPr>
        <w:t xml:space="preserve"> invisible to screen reader users. As a result, it is impossible for Plaintiff to perceive </w:t>
      </w:r>
      <w:r w:rsidR="00A378FE">
        <w:rPr>
          <w:szCs w:val="24"/>
        </w:rPr>
        <w:t>these</w:t>
      </w:r>
      <w:r w:rsidRPr="00E902C5">
        <w:rPr>
          <w:szCs w:val="24"/>
        </w:rPr>
        <w:t xml:space="preserve"> important legal disclosure</w:t>
      </w:r>
      <w:r w:rsidR="00A378FE">
        <w:rPr>
          <w:szCs w:val="24"/>
        </w:rPr>
        <w:t>s</w:t>
      </w:r>
      <w:r w:rsidRPr="00E902C5">
        <w:rPr>
          <w:szCs w:val="24"/>
        </w:rPr>
        <w:t xml:space="preserve"> independently</w:t>
      </w:r>
      <w:r w:rsidR="00D83A38" w:rsidRPr="004362C4">
        <w:rPr>
          <w:szCs w:val="24"/>
        </w:rPr>
        <w:t>. Click the following link</w:t>
      </w:r>
      <w:r>
        <w:rPr>
          <w:szCs w:val="24"/>
        </w:rPr>
        <w:t>s</w:t>
      </w:r>
      <w:r w:rsidR="00D83A38" w:rsidRPr="004362C4">
        <w:rPr>
          <w:szCs w:val="24"/>
        </w:rPr>
        <w:t xml:space="preserve"> to view short video</w:t>
      </w:r>
      <w:r>
        <w:rPr>
          <w:szCs w:val="24"/>
        </w:rPr>
        <w:t>s</w:t>
      </w:r>
      <w:r w:rsidR="00D83A38" w:rsidRPr="004362C4">
        <w:rPr>
          <w:szCs w:val="24"/>
        </w:rPr>
        <w:t xml:space="preserve"> demonstrating this access barrier: </w:t>
      </w:r>
      <w:hyperlink r:id="rId68" w:history="1">
        <w:r w:rsidR="00D0001C" w:rsidRPr="00E861F7">
          <w:rPr>
            <w:rStyle w:val="Hyperlink"/>
            <w:szCs w:val="24"/>
          </w:rPr>
          <w:t>https://youtube.com/shorts/ekjFVM8G0V4?feature=share</w:t>
        </w:r>
      </w:hyperlink>
      <w:r w:rsidR="00D0001C">
        <w:rPr>
          <w:szCs w:val="24"/>
        </w:rPr>
        <w:t xml:space="preserve"> (Dentyne), </w:t>
      </w:r>
      <w:hyperlink r:id="rId69" w:history="1">
        <w:r w:rsidR="00D0001C" w:rsidRPr="00E861F7">
          <w:rPr>
            <w:rStyle w:val="Hyperlink"/>
            <w:szCs w:val="24"/>
          </w:rPr>
          <w:t>https://youtube.com/shorts/TLhPU0aI498</w:t>
        </w:r>
      </w:hyperlink>
      <w:r w:rsidR="00D0001C">
        <w:rPr>
          <w:szCs w:val="24"/>
        </w:rPr>
        <w:t xml:space="preserve"> (Trident), and </w:t>
      </w:r>
      <w:hyperlink r:id="rId70" w:history="1">
        <w:r w:rsidR="00273632" w:rsidRPr="00E861F7">
          <w:rPr>
            <w:rStyle w:val="Hyperlink"/>
            <w:szCs w:val="24"/>
          </w:rPr>
          <w:t>https://youtube.com/shorts/-6Tu-enDaag?feature=share</w:t>
        </w:r>
      </w:hyperlink>
      <w:r w:rsidR="00273632">
        <w:rPr>
          <w:szCs w:val="24"/>
        </w:rPr>
        <w:t xml:space="preserve"> (Wheat Thins).</w:t>
      </w:r>
    </w:p>
    <w:p w14:paraId="350AA6CC" w14:textId="6D4F8610" w:rsidR="00273632" w:rsidRDefault="00273632" w:rsidP="004362C4">
      <w:pPr>
        <w:numPr>
          <w:ilvl w:val="1"/>
          <w:numId w:val="1"/>
        </w:numPr>
        <w:tabs>
          <w:tab w:val="clear" w:pos="1440"/>
        </w:tabs>
        <w:spacing w:line="480" w:lineRule="auto"/>
        <w:ind w:left="0" w:firstLine="1440"/>
        <w:jc w:val="both"/>
        <w:rPr>
          <w:szCs w:val="24"/>
        </w:rPr>
      </w:pPr>
      <w:r>
        <w:rPr>
          <w:szCs w:val="24"/>
        </w:rPr>
        <w:t>Similarly</w:t>
      </w:r>
      <w:r w:rsidRPr="00E902C5">
        <w:rPr>
          <w:szCs w:val="24"/>
        </w:rPr>
        <w:t xml:space="preserve">, when consumers visit </w:t>
      </w:r>
      <w:hyperlink r:id="rId71" w:history="1">
        <w:r w:rsidRPr="00847D4B">
          <w:rPr>
            <w:rStyle w:val="Hyperlink"/>
            <w:szCs w:val="24"/>
          </w:rPr>
          <w:t>www.enjoylifefoods.com</w:t>
        </w:r>
      </w:hyperlink>
      <w:r>
        <w:rPr>
          <w:szCs w:val="24"/>
        </w:rPr>
        <w:t xml:space="preserve"> and </w:t>
      </w:r>
      <w:hyperlink r:id="rId72" w:history="1">
        <w:r w:rsidRPr="00847D4B">
          <w:rPr>
            <w:rStyle w:val="Hyperlink"/>
            <w:szCs w:val="24"/>
          </w:rPr>
          <w:t>www.sourpatchkids.com</w:t>
        </w:r>
      </w:hyperlink>
      <w:r>
        <w:rPr>
          <w:szCs w:val="24"/>
        </w:rPr>
        <w:t xml:space="preserve"> </w:t>
      </w:r>
      <w:r w:rsidRPr="00E902C5">
        <w:rPr>
          <w:szCs w:val="24"/>
        </w:rPr>
        <w:t xml:space="preserve">from a new IP address, Defendant displays a pop-up </w:t>
      </w:r>
      <w:r w:rsidR="00A378FE">
        <w:rPr>
          <w:szCs w:val="24"/>
        </w:rPr>
        <w:t>messages</w:t>
      </w:r>
      <w:r w:rsidRPr="00E902C5">
        <w:rPr>
          <w:szCs w:val="24"/>
        </w:rPr>
        <w:t xml:space="preserve"> </w:t>
      </w:r>
      <w:r>
        <w:rPr>
          <w:szCs w:val="24"/>
        </w:rPr>
        <w:t>offering them access to special promotions and other information in exchange for joining Defendant’s email lists</w:t>
      </w:r>
      <w:r w:rsidRPr="00E902C5">
        <w:rPr>
          <w:szCs w:val="24"/>
        </w:rPr>
        <w:t xml:space="preserve">. Unfortunately, Defendant does not alert screen readers of </w:t>
      </w:r>
      <w:r>
        <w:rPr>
          <w:szCs w:val="24"/>
        </w:rPr>
        <w:t>these</w:t>
      </w:r>
      <w:r w:rsidRPr="00E902C5">
        <w:rPr>
          <w:szCs w:val="24"/>
        </w:rPr>
        <w:t xml:space="preserve"> pop-up </w:t>
      </w:r>
      <w:r w:rsidR="00A378FE">
        <w:rPr>
          <w:szCs w:val="24"/>
        </w:rPr>
        <w:t>messages</w:t>
      </w:r>
      <w:r>
        <w:rPr>
          <w:szCs w:val="24"/>
        </w:rPr>
        <w:t xml:space="preserve"> when they appear</w:t>
      </w:r>
      <w:r w:rsidRPr="00E902C5">
        <w:rPr>
          <w:szCs w:val="24"/>
        </w:rPr>
        <w:t xml:space="preserve">. Instead, screen readers remain focused on the content of the </w:t>
      </w:r>
      <w:r>
        <w:rPr>
          <w:szCs w:val="24"/>
        </w:rPr>
        <w:t>websites’</w:t>
      </w:r>
      <w:r w:rsidRPr="00E902C5">
        <w:rPr>
          <w:szCs w:val="24"/>
        </w:rPr>
        <w:t xml:space="preserve"> underlying page</w:t>
      </w:r>
      <w:r>
        <w:rPr>
          <w:szCs w:val="24"/>
        </w:rPr>
        <w:t>s</w:t>
      </w:r>
      <w:r w:rsidRPr="00E902C5">
        <w:rPr>
          <w:szCs w:val="24"/>
        </w:rPr>
        <w:t>, making the pop-up</w:t>
      </w:r>
      <w:r>
        <w:rPr>
          <w:szCs w:val="24"/>
        </w:rPr>
        <w:t>s</w:t>
      </w:r>
      <w:r w:rsidRPr="00E902C5">
        <w:rPr>
          <w:szCs w:val="24"/>
        </w:rPr>
        <w:t xml:space="preserve"> invisible to screen reader users. As a result, it is impossible for Plaintiff to perceive </w:t>
      </w:r>
      <w:r>
        <w:rPr>
          <w:szCs w:val="24"/>
        </w:rPr>
        <w:t>these</w:t>
      </w:r>
      <w:r w:rsidRPr="00E902C5">
        <w:rPr>
          <w:szCs w:val="24"/>
        </w:rPr>
        <w:t xml:space="preserve"> promotion</w:t>
      </w:r>
      <w:r>
        <w:rPr>
          <w:szCs w:val="24"/>
        </w:rPr>
        <w:t>s</w:t>
      </w:r>
      <w:r w:rsidRPr="00E902C5">
        <w:rPr>
          <w:szCs w:val="24"/>
        </w:rPr>
        <w:t xml:space="preserve"> independently, the effect of which would require him to pay more on his order</w:t>
      </w:r>
      <w:r>
        <w:rPr>
          <w:szCs w:val="24"/>
        </w:rPr>
        <w:t xml:space="preserve">s </w:t>
      </w:r>
      <w:r w:rsidRPr="00E902C5">
        <w:rPr>
          <w:szCs w:val="24"/>
        </w:rPr>
        <w:t>than consumers who do not use screen reader</w:t>
      </w:r>
      <w:r w:rsidR="00A378FE">
        <w:rPr>
          <w:szCs w:val="24"/>
        </w:rPr>
        <w:t xml:space="preserve">s </w:t>
      </w:r>
      <w:r w:rsidRPr="00E902C5">
        <w:rPr>
          <w:szCs w:val="24"/>
        </w:rPr>
        <w:t>to shop online</w:t>
      </w:r>
      <w:r>
        <w:rPr>
          <w:szCs w:val="24"/>
        </w:rPr>
        <w:t xml:space="preserve">. </w:t>
      </w:r>
      <w:r w:rsidRPr="004362C4">
        <w:rPr>
          <w:szCs w:val="24"/>
        </w:rPr>
        <w:t>Click the following link</w:t>
      </w:r>
      <w:r>
        <w:rPr>
          <w:szCs w:val="24"/>
        </w:rPr>
        <w:t>s</w:t>
      </w:r>
      <w:r w:rsidRPr="004362C4">
        <w:rPr>
          <w:szCs w:val="24"/>
        </w:rPr>
        <w:t xml:space="preserve"> to view short video</w:t>
      </w:r>
      <w:r>
        <w:rPr>
          <w:szCs w:val="24"/>
        </w:rPr>
        <w:t>s</w:t>
      </w:r>
      <w:r w:rsidRPr="004362C4">
        <w:rPr>
          <w:szCs w:val="24"/>
        </w:rPr>
        <w:t xml:space="preserve"> demonstrating this access barrier</w:t>
      </w:r>
      <w:r>
        <w:rPr>
          <w:szCs w:val="24"/>
        </w:rPr>
        <w:t xml:space="preserve">: </w:t>
      </w:r>
      <w:hyperlink r:id="rId73" w:history="1">
        <w:r w:rsidR="00A44A21" w:rsidRPr="00E861F7">
          <w:rPr>
            <w:rStyle w:val="Hyperlink"/>
            <w:szCs w:val="24"/>
          </w:rPr>
          <w:t>https://youtube.com/shorts/Vh2Qxyl3vP0</w:t>
        </w:r>
      </w:hyperlink>
      <w:r w:rsidR="00A44A21">
        <w:rPr>
          <w:szCs w:val="24"/>
        </w:rPr>
        <w:t xml:space="preserve"> (Enjoy Life Foods) and </w:t>
      </w:r>
      <w:hyperlink r:id="rId74" w:history="1">
        <w:r w:rsidR="00A44A21" w:rsidRPr="00E861F7">
          <w:rPr>
            <w:rStyle w:val="Hyperlink"/>
            <w:szCs w:val="24"/>
          </w:rPr>
          <w:t>https://youtube.com/shorts/2i49JNDLgko</w:t>
        </w:r>
      </w:hyperlink>
      <w:r w:rsidR="00A44A21">
        <w:rPr>
          <w:szCs w:val="24"/>
        </w:rPr>
        <w:t xml:space="preserve"> (Sour Patch Kids).</w:t>
      </w:r>
    </w:p>
    <w:p w14:paraId="3C4A5AEA" w14:textId="2D7CD985" w:rsidR="00A44A21" w:rsidRDefault="00A44A21" w:rsidP="004362C4">
      <w:pPr>
        <w:numPr>
          <w:ilvl w:val="1"/>
          <w:numId w:val="1"/>
        </w:numPr>
        <w:tabs>
          <w:tab w:val="clear" w:pos="1440"/>
        </w:tabs>
        <w:spacing w:line="480" w:lineRule="auto"/>
        <w:ind w:left="0" w:firstLine="1440"/>
        <w:jc w:val="both"/>
        <w:rPr>
          <w:szCs w:val="24"/>
        </w:rPr>
      </w:pPr>
      <w:r w:rsidRPr="00E902C5">
        <w:rPr>
          <w:szCs w:val="24"/>
        </w:rPr>
        <w:t xml:space="preserve">Defendant does not provide a text equivalent for non-text elements. Providing text alternatives allows information to be rendered in a variety of ways by a variety of users. A person who cannot see a picture, logo, or icon can have a text alternative read aloud using synthesized speech. For example, </w:t>
      </w:r>
      <w:hyperlink r:id="rId75" w:history="1">
        <w:r w:rsidRPr="00847D4B">
          <w:rPr>
            <w:rStyle w:val="Hyperlink"/>
            <w:szCs w:val="24"/>
          </w:rPr>
          <w:t>www.capaofruit.com</w:t>
        </w:r>
      </w:hyperlink>
      <w:r>
        <w:rPr>
          <w:szCs w:val="24"/>
        </w:rPr>
        <w:t xml:space="preserve"> and </w:t>
      </w:r>
      <w:hyperlink r:id="rId76" w:history="1">
        <w:r w:rsidRPr="00847D4B">
          <w:rPr>
            <w:rStyle w:val="Hyperlink"/>
            <w:szCs w:val="24"/>
          </w:rPr>
          <w:t>www.hukitchen.com</w:t>
        </w:r>
      </w:hyperlink>
      <w:r>
        <w:rPr>
          <w:szCs w:val="24"/>
        </w:rPr>
        <w:t xml:space="preserve"> </w:t>
      </w:r>
      <w:r w:rsidRPr="00E902C5">
        <w:rPr>
          <w:szCs w:val="24"/>
        </w:rPr>
        <w:t>provide a five-star rating for many products that Defendant sells. Consumers who perceive content visually can see whether a particular product has one, two, three, four, or five stars, and base their purchasing decisions on this information. Unfortunately, Defendant</w:t>
      </w:r>
      <w:r w:rsidR="00A378FE">
        <w:rPr>
          <w:szCs w:val="24"/>
        </w:rPr>
        <w:t xml:space="preserve"> </w:t>
      </w:r>
      <w:r w:rsidRPr="00E902C5">
        <w:rPr>
          <w:szCs w:val="24"/>
        </w:rPr>
        <w:t>fail</w:t>
      </w:r>
      <w:r w:rsidR="00A378FE">
        <w:rPr>
          <w:szCs w:val="24"/>
        </w:rPr>
        <w:t>s</w:t>
      </w:r>
      <w:r w:rsidRPr="00E902C5">
        <w:rPr>
          <w:szCs w:val="24"/>
        </w:rPr>
        <w:t xml:space="preserve"> to provide sufficiently descriptive </w:t>
      </w:r>
      <w:r w:rsidRPr="00E902C5">
        <w:rPr>
          <w:szCs w:val="24"/>
        </w:rPr>
        <w:lastRenderedPageBreak/>
        <w:t>alternative text for this important rating information. As a result, Plaintiff must make his purchasing decisions without the benefit of knowing whether the products he’s researching are well received by other consumers</w:t>
      </w:r>
      <w:r>
        <w:rPr>
          <w:szCs w:val="24"/>
        </w:rPr>
        <w:t xml:space="preserve">. </w:t>
      </w:r>
      <w:r w:rsidRPr="004362C4">
        <w:rPr>
          <w:szCs w:val="24"/>
        </w:rPr>
        <w:t>Click the following link</w:t>
      </w:r>
      <w:r>
        <w:rPr>
          <w:szCs w:val="24"/>
        </w:rPr>
        <w:t>s</w:t>
      </w:r>
      <w:r w:rsidRPr="004362C4">
        <w:rPr>
          <w:szCs w:val="24"/>
        </w:rPr>
        <w:t xml:space="preserve"> to view short video</w:t>
      </w:r>
      <w:r>
        <w:rPr>
          <w:szCs w:val="24"/>
        </w:rPr>
        <w:t>s</w:t>
      </w:r>
      <w:r w:rsidRPr="004362C4">
        <w:rPr>
          <w:szCs w:val="24"/>
        </w:rPr>
        <w:t xml:space="preserve"> demonstrating this access barrier</w:t>
      </w:r>
      <w:r>
        <w:rPr>
          <w:szCs w:val="24"/>
        </w:rPr>
        <w:t xml:space="preserve">: </w:t>
      </w:r>
      <w:hyperlink r:id="rId77" w:history="1">
        <w:r w:rsidR="003A23D7" w:rsidRPr="00E861F7">
          <w:rPr>
            <w:rStyle w:val="Hyperlink"/>
            <w:szCs w:val="24"/>
          </w:rPr>
          <w:t>https://youtube.com/shorts/Q2KuR_cBc84</w:t>
        </w:r>
      </w:hyperlink>
      <w:r w:rsidR="003A23D7">
        <w:rPr>
          <w:szCs w:val="24"/>
        </w:rPr>
        <w:t xml:space="preserve"> (</w:t>
      </w:r>
      <w:proofErr w:type="spellStart"/>
      <w:r w:rsidR="003A23D7">
        <w:rPr>
          <w:szCs w:val="24"/>
        </w:rPr>
        <w:t>Capao</w:t>
      </w:r>
      <w:proofErr w:type="spellEnd"/>
      <w:r w:rsidR="003A23D7">
        <w:rPr>
          <w:szCs w:val="24"/>
        </w:rPr>
        <w:t xml:space="preserve"> Fruit) and </w:t>
      </w:r>
      <w:hyperlink r:id="rId78" w:history="1">
        <w:r w:rsidR="003A23D7" w:rsidRPr="00E861F7">
          <w:rPr>
            <w:rStyle w:val="Hyperlink"/>
            <w:szCs w:val="24"/>
          </w:rPr>
          <w:t>https://youtube.com/shorts/6IVH8u_76J4</w:t>
        </w:r>
      </w:hyperlink>
      <w:r w:rsidR="003A23D7">
        <w:rPr>
          <w:szCs w:val="24"/>
        </w:rPr>
        <w:t xml:space="preserve"> (Hu Kitchen).</w:t>
      </w:r>
    </w:p>
    <w:p w14:paraId="563BD566" w14:textId="063A8FA7" w:rsidR="000E38C0" w:rsidRDefault="000E38C0" w:rsidP="004362C4">
      <w:pPr>
        <w:numPr>
          <w:ilvl w:val="1"/>
          <w:numId w:val="1"/>
        </w:numPr>
        <w:tabs>
          <w:tab w:val="clear" w:pos="1440"/>
        </w:tabs>
        <w:spacing w:line="480" w:lineRule="auto"/>
        <w:ind w:left="0" w:firstLine="1440"/>
        <w:jc w:val="both"/>
        <w:rPr>
          <w:szCs w:val="24"/>
        </w:rPr>
      </w:pPr>
      <w:r w:rsidRPr="00E902C5">
        <w:rPr>
          <w:szCs w:val="24"/>
        </w:rPr>
        <w:t>Links and buttons on the Digital Platform do not describe their purpose. As a result, consumers who have a visual impairment cannot determine whether they want to follow a particular link, making navigation an exercise of trial and error. For example, consumers who perceive content visually will likely recognize the menu icon</w:t>
      </w:r>
      <w:r w:rsidR="00A378FE">
        <w:rPr>
          <w:szCs w:val="24"/>
        </w:rPr>
        <w:t>s</w:t>
      </w:r>
      <w:r>
        <w:rPr>
          <w:szCs w:val="24"/>
        </w:rPr>
        <w:t xml:space="preserve"> at </w:t>
      </w:r>
      <w:hyperlink r:id="rId79" w:history="1">
        <w:r w:rsidRPr="00847D4B">
          <w:rPr>
            <w:rStyle w:val="Hyperlink"/>
            <w:szCs w:val="24"/>
          </w:rPr>
          <w:t>www.masonstbakehouse.com</w:t>
        </w:r>
      </w:hyperlink>
      <w:r>
        <w:rPr>
          <w:szCs w:val="24"/>
        </w:rPr>
        <w:t xml:space="preserve">, </w:t>
      </w:r>
      <w:hyperlink r:id="rId80" w:history="1">
        <w:r w:rsidRPr="00847D4B">
          <w:rPr>
            <w:rStyle w:val="Hyperlink"/>
            <w:szCs w:val="24"/>
          </w:rPr>
          <w:t>www.ritzcrackers.com</w:t>
        </w:r>
      </w:hyperlink>
      <w:r>
        <w:rPr>
          <w:szCs w:val="24"/>
        </w:rPr>
        <w:t xml:space="preserve">, and </w:t>
      </w:r>
      <w:hyperlink r:id="rId81" w:history="1">
        <w:r w:rsidRPr="00847D4B">
          <w:rPr>
            <w:rStyle w:val="Hyperlink"/>
            <w:szCs w:val="24"/>
          </w:rPr>
          <w:t>www.snackworks.com</w:t>
        </w:r>
      </w:hyperlink>
      <w:r w:rsidRPr="00E902C5">
        <w:rPr>
          <w:szCs w:val="24"/>
        </w:rPr>
        <w:t>, which consumers may click to view and navigate to various sections of the website</w:t>
      </w:r>
      <w:r>
        <w:rPr>
          <w:szCs w:val="24"/>
        </w:rPr>
        <w:t>s</w:t>
      </w:r>
      <w:r w:rsidRPr="00E902C5">
        <w:rPr>
          <w:szCs w:val="24"/>
        </w:rPr>
        <w:t xml:space="preserve">. Unfortunately, </w:t>
      </w:r>
      <w:r>
        <w:rPr>
          <w:szCs w:val="24"/>
        </w:rPr>
        <w:t>these</w:t>
      </w:r>
      <w:r w:rsidRPr="00E902C5">
        <w:rPr>
          <w:szCs w:val="24"/>
        </w:rPr>
        <w:t xml:space="preserve"> icon</w:t>
      </w:r>
      <w:r>
        <w:rPr>
          <w:szCs w:val="24"/>
        </w:rPr>
        <w:t>s are</w:t>
      </w:r>
      <w:r w:rsidRPr="00E902C5">
        <w:rPr>
          <w:szCs w:val="24"/>
        </w:rPr>
        <w:t xml:space="preserve"> not labeled with sufficiently descriptive alternative text. As a result, Plaintiff is unlikely (or unable) to locate the menu</w:t>
      </w:r>
      <w:r>
        <w:rPr>
          <w:szCs w:val="24"/>
        </w:rPr>
        <w:t>s</w:t>
      </w:r>
      <w:r w:rsidRPr="00E902C5">
        <w:rPr>
          <w:szCs w:val="24"/>
        </w:rPr>
        <w:t xml:space="preserve"> independently, making it less likely he uses </w:t>
      </w:r>
      <w:r w:rsidR="00A378FE">
        <w:rPr>
          <w:szCs w:val="24"/>
        </w:rPr>
        <w:t>these</w:t>
      </w:r>
      <w:r w:rsidRPr="00E902C5">
        <w:rPr>
          <w:szCs w:val="24"/>
        </w:rPr>
        <w:t xml:space="preserve"> important navigational tool</w:t>
      </w:r>
      <w:r w:rsidR="00A378FE">
        <w:rPr>
          <w:szCs w:val="24"/>
        </w:rPr>
        <w:t>s</w:t>
      </w:r>
      <w:r>
        <w:rPr>
          <w:szCs w:val="24"/>
        </w:rPr>
        <w:t xml:space="preserve"> while browsing </w:t>
      </w:r>
      <w:r w:rsidR="00A378FE">
        <w:rPr>
          <w:szCs w:val="24"/>
        </w:rPr>
        <w:t>the</w:t>
      </w:r>
      <w:r>
        <w:rPr>
          <w:szCs w:val="24"/>
        </w:rPr>
        <w:t xml:space="preserve"> websites. </w:t>
      </w:r>
      <w:r w:rsidRPr="004362C4">
        <w:rPr>
          <w:szCs w:val="24"/>
        </w:rPr>
        <w:t>Click the following link</w:t>
      </w:r>
      <w:r>
        <w:rPr>
          <w:szCs w:val="24"/>
        </w:rPr>
        <w:t>s</w:t>
      </w:r>
      <w:r w:rsidRPr="004362C4">
        <w:rPr>
          <w:szCs w:val="24"/>
        </w:rPr>
        <w:t xml:space="preserve"> to view short video</w:t>
      </w:r>
      <w:r>
        <w:rPr>
          <w:szCs w:val="24"/>
        </w:rPr>
        <w:t>s</w:t>
      </w:r>
      <w:r w:rsidRPr="004362C4">
        <w:rPr>
          <w:szCs w:val="24"/>
        </w:rPr>
        <w:t xml:space="preserve"> demonstrating this access barrier</w:t>
      </w:r>
      <w:r>
        <w:rPr>
          <w:szCs w:val="24"/>
        </w:rPr>
        <w:t xml:space="preserve">: </w:t>
      </w:r>
      <w:hyperlink r:id="rId82" w:history="1">
        <w:r w:rsidR="00A0719A" w:rsidRPr="00E861F7">
          <w:rPr>
            <w:rStyle w:val="Hyperlink"/>
            <w:szCs w:val="24"/>
          </w:rPr>
          <w:t>https://youtube.com/shorts/i60FTl3unnw</w:t>
        </w:r>
      </w:hyperlink>
      <w:r w:rsidR="00A0719A">
        <w:rPr>
          <w:szCs w:val="24"/>
        </w:rPr>
        <w:t xml:space="preserve"> (Mason St. Bake House), </w:t>
      </w:r>
      <w:hyperlink r:id="rId83" w:history="1">
        <w:r w:rsidR="00A0719A" w:rsidRPr="00E861F7">
          <w:rPr>
            <w:rStyle w:val="Hyperlink"/>
            <w:szCs w:val="24"/>
          </w:rPr>
          <w:t>https://youtube.com/shorts/UCuDtpSWWTk</w:t>
        </w:r>
      </w:hyperlink>
      <w:r w:rsidR="00A0719A">
        <w:rPr>
          <w:szCs w:val="24"/>
        </w:rPr>
        <w:t xml:space="preserve"> (Ritz Crackers), and </w:t>
      </w:r>
      <w:hyperlink r:id="rId84" w:history="1">
        <w:r w:rsidR="00A0719A" w:rsidRPr="00E861F7">
          <w:rPr>
            <w:rStyle w:val="Hyperlink"/>
            <w:szCs w:val="24"/>
          </w:rPr>
          <w:t>https://youtube.com/shorts/omomPMqF5KI</w:t>
        </w:r>
      </w:hyperlink>
      <w:r w:rsidR="00A0719A">
        <w:rPr>
          <w:szCs w:val="24"/>
        </w:rPr>
        <w:t xml:space="preserve"> (Snack Works).</w:t>
      </w:r>
    </w:p>
    <w:p w14:paraId="7378BA57" w14:textId="30872E5B" w:rsidR="00F826A9" w:rsidRDefault="00F826A9" w:rsidP="004362C4">
      <w:pPr>
        <w:numPr>
          <w:ilvl w:val="1"/>
          <w:numId w:val="1"/>
        </w:numPr>
        <w:tabs>
          <w:tab w:val="clear" w:pos="1440"/>
        </w:tabs>
        <w:spacing w:line="480" w:lineRule="auto"/>
        <w:ind w:left="0" w:firstLine="1440"/>
        <w:jc w:val="both"/>
        <w:rPr>
          <w:szCs w:val="24"/>
        </w:rPr>
      </w:pPr>
      <w:r w:rsidRPr="00E902C5">
        <w:rPr>
          <w:szCs w:val="24"/>
        </w:rPr>
        <w:t xml:space="preserve">Defendant uses visual cues to convey content and other information. Unfortunately, screen readers cannot interpret these cues and communicate the information they represent to individuals with visual disabilities. For example, consumers who perceive content visually will notice that many products available for purchase </w:t>
      </w:r>
      <w:r>
        <w:rPr>
          <w:szCs w:val="24"/>
        </w:rPr>
        <w:t xml:space="preserve">at </w:t>
      </w:r>
      <w:hyperlink r:id="rId85" w:history="1">
        <w:r w:rsidRPr="00847D4B">
          <w:rPr>
            <w:rStyle w:val="Hyperlink"/>
            <w:szCs w:val="24"/>
          </w:rPr>
          <w:t>www.perfectsnacks.com</w:t>
        </w:r>
      </w:hyperlink>
      <w:r w:rsidRPr="00E902C5">
        <w:rPr>
          <w:szCs w:val="24"/>
        </w:rPr>
        <w:t xml:space="preserve"> include two prices. One price—a higher price—appears in strikethrough font. The other—a lower price—does not. Consumers who perceive content visually will understand that the price appearing in </w:t>
      </w:r>
      <w:r w:rsidRPr="00E902C5">
        <w:rPr>
          <w:szCs w:val="24"/>
        </w:rPr>
        <w:lastRenderedPageBreak/>
        <w:t>strikethrough font is the “old” or “original” price, while the price appearing in regular font is the “new” or “sale” price. Unfortunately, screen readers cannot identify the meanings of these two fonts so that users can make an informed decision. Instead, Defendant announces two prices for the same product, making it difficult for consumers to determine with certainty what they signify, like different quantities, conditions, sizes, or in this case, sales. This unnecessary confusion frustrates Plaintiff’s ability to make informed purchasing decisions and increases the odds he will abandon the purchase process without making a selection at all</w:t>
      </w:r>
      <w:r>
        <w:rPr>
          <w:szCs w:val="24"/>
        </w:rPr>
        <w:t xml:space="preserve">. </w:t>
      </w:r>
      <w:r w:rsidRPr="004362C4">
        <w:rPr>
          <w:szCs w:val="24"/>
        </w:rPr>
        <w:t xml:space="preserve">Click the following link to view </w:t>
      </w:r>
      <w:r>
        <w:rPr>
          <w:szCs w:val="24"/>
        </w:rPr>
        <w:t xml:space="preserve">a </w:t>
      </w:r>
      <w:r w:rsidRPr="004362C4">
        <w:rPr>
          <w:szCs w:val="24"/>
        </w:rPr>
        <w:t>short video demonstrating this access barrier</w:t>
      </w:r>
      <w:r>
        <w:rPr>
          <w:szCs w:val="24"/>
        </w:rPr>
        <w:t xml:space="preserve">: </w:t>
      </w:r>
      <w:hyperlink r:id="rId86" w:history="1">
        <w:r w:rsidR="0028614D" w:rsidRPr="00E861F7">
          <w:rPr>
            <w:rStyle w:val="Hyperlink"/>
            <w:szCs w:val="24"/>
          </w:rPr>
          <w:t>https://youtube.com/shorts/rRh3NkGcofs</w:t>
        </w:r>
      </w:hyperlink>
      <w:r w:rsidR="0028614D">
        <w:rPr>
          <w:szCs w:val="24"/>
        </w:rPr>
        <w:t xml:space="preserve"> (Perfect Snacks).</w:t>
      </w:r>
    </w:p>
    <w:p w14:paraId="4D0A2915" w14:textId="00EA450F" w:rsidR="0028614D" w:rsidRDefault="0028614D" w:rsidP="004362C4">
      <w:pPr>
        <w:numPr>
          <w:ilvl w:val="1"/>
          <w:numId w:val="1"/>
        </w:numPr>
        <w:tabs>
          <w:tab w:val="clear" w:pos="1440"/>
        </w:tabs>
        <w:spacing w:line="480" w:lineRule="auto"/>
        <w:ind w:left="0" w:firstLine="1440"/>
        <w:jc w:val="both"/>
        <w:rPr>
          <w:szCs w:val="24"/>
        </w:rPr>
      </w:pPr>
      <w:r w:rsidRPr="00E902C5">
        <w:rPr>
          <w:szCs w:val="24"/>
        </w:rPr>
        <w:t xml:space="preserve">Defendant uses visual cues as the only means of conveying information, indicating an action, prompting a response, or distinguishing a visual element. Providing information conveyed visually through an audio means is necessary to ensure that consumers who cannot see can still perceive this information. For example, Defendant places a </w:t>
      </w:r>
      <w:r w:rsidR="00763E6E">
        <w:rPr>
          <w:szCs w:val="24"/>
        </w:rPr>
        <w:t>red slash</w:t>
      </w:r>
      <w:r w:rsidRPr="00E902C5">
        <w:rPr>
          <w:szCs w:val="24"/>
        </w:rPr>
        <w:t xml:space="preserve"> atop the </w:t>
      </w:r>
      <w:r w:rsidRPr="00763E6E">
        <w:rPr>
          <w:szCs w:val="24"/>
        </w:rPr>
        <w:t>sizes</w:t>
      </w:r>
      <w:r w:rsidRPr="00E902C5">
        <w:rPr>
          <w:szCs w:val="24"/>
        </w:rPr>
        <w:t xml:space="preserve"> in which a particular product is unavailable</w:t>
      </w:r>
      <w:r>
        <w:rPr>
          <w:szCs w:val="24"/>
        </w:rPr>
        <w:t xml:space="preserve"> at </w:t>
      </w:r>
      <w:hyperlink r:id="rId87" w:history="1">
        <w:r w:rsidRPr="00847D4B">
          <w:rPr>
            <w:rStyle w:val="Hyperlink"/>
            <w:szCs w:val="24"/>
          </w:rPr>
          <w:t>www.oreo.com</w:t>
        </w:r>
      </w:hyperlink>
      <w:r w:rsidRPr="00E902C5">
        <w:rPr>
          <w:szCs w:val="24"/>
        </w:rPr>
        <w:t xml:space="preserve">. Consumers who perceive content visually will see this visual cue and infer that the product they’re researching is unavailable in the corresponding </w:t>
      </w:r>
      <w:r w:rsidRPr="00763E6E">
        <w:rPr>
          <w:szCs w:val="24"/>
        </w:rPr>
        <w:t>size</w:t>
      </w:r>
      <w:r w:rsidRPr="00E902C5">
        <w:rPr>
          <w:szCs w:val="24"/>
        </w:rPr>
        <w:t xml:space="preserve">. Unfortunately, Defendant fails to include sufficiently descriptive alternative text to also identify which </w:t>
      </w:r>
      <w:r w:rsidRPr="00763E6E">
        <w:rPr>
          <w:szCs w:val="24"/>
        </w:rPr>
        <w:t>sizes</w:t>
      </w:r>
      <w:r w:rsidRPr="00E902C5">
        <w:rPr>
          <w:szCs w:val="24"/>
        </w:rPr>
        <w:t xml:space="preserve"> are unavailable, making it impossible for Plaintiff to discover which </w:t>
      </w:r>
      <w:r w:rsidRPr="00763E6E">
        <w:rPr>
          <w:szCs w:val="24"/>
        </w:rPr>
        <w:t>sizes</w:t>
      </w:r>
      <w:r w:rsidRPr="00E902C5">
        <w:rPr>
          <w:szCs w:val="24"/>
        </w:rPr>
        <w:t xml:space="preserve"> are out-of-stock</w:t>
      </w:r>
      <w:r w:rsidR="00763E6E">
        <w:rPr>
          <w:szCs w:val="24"/>
        </w:rPr>
        <w:t xml:space="preserve">. </w:t>
      </w:r>
      <w:r w:rsidR="00763E6E" w:rsidRPr="004362C4">
        <w:rPr>
          <w:szCs w:val="24"/>
        </w:rPr>
        <w:t xml:space="preserve">Click the following link to view </w:t>
      </w:r>
      <w:r w:rsidR="00763E6E">
        <w:rPr>
          <w:szCs w:val="24"/>
        </w:rPr>
        <w:t xml:space="preserve">a </w:t>
      </w:r>
      <w:r w:rsidR="00763E6E" w:rsidRPr="004362C4">
        <w:rPr>
          <w:szCs w:val="24"/>
        </w:rPr>
        <w:t>short video demonstrating this access barrier</w:t>
      </w:r>
      <w:r w:rsidR="00763E6E">
        <w:rPr>
          <w:szCs w:val="24"/>
        </w:rPr>
        <w:t xml:space="preserve">: </w:t>
      </w:r>
      <w:hyperlink r:id="rId88" w:history="1">
        <w:r w:rsidR="00763E6E" w:rsidRPr="00E861F7">
          <w:rPr>
            <w:rStyle w:val="Hyperlink"/>
            <w:szCs w:val="24"/>
          </w:rPr>
          <w:t>https://youtube.com/shorts/e4ZQ9X-mFDI</w:t>
        </w:r>
      </w:hyperlink>
      <w:r w:rsidR="00763E6E">
        <w:rPr>
          <w:szCs w:val="24"/>
        </w:rPr>
        <w:t xml:space="preserve"> (Oreo).</w:t>
      </w:r>
    </w:p>
    <w:p w14:paraId="366802BA" w14:textId="0FA5B7A3" w:rsidR="00763E6E" w:rsidRPr="004362C4" w:rsidRDefault="00763E6E" w:rsidP="004362C4">
      <w:pPr>
        <w:numPr>
          <w:ilvl w:val="1"/>
          <w:numId w:val="1"/>
        </w:numPr>
        <w:tabs>
          <w:tab w:val="clear" w:pos="1440"/>
        </w:tabs>
        <w:spacing w:line="480" w:lineRule="auto"/>
        <w:ind w:left="0" w:firstLine="1440"/>
        <w:jc w:val="both"/>
        <w:rPr>
          <w:szCs w:val="24"/>
        </w:rPr>
      </w:pPr>
      <w:r>
        <w:rPr>
          <w:szCs w:val="24"/>
        </w:rPr>
        <w:t xml:space="preserve">Defendant’s </w:t>
      </w:r>
      <w:hyperlink r:id="rId89" w:history="1">
        <w:r w:rsidRPr="00847D4B">
          <w:rPr>
            <w:rStyle w:val="Hyperlink"/>
            <w:szCs w:val="24"/>
          </w:rPr>
          <w:t>www.tatesbakeshop.com</w:t>
        </w:r>
      </w:hyperlink>
      <w:r>
        <w:rPr>
          <w:szCs w:val="24"/>
        </w:rPr>
        <w:t xml:space="preserve"> website</w:t>
      </w:r>
      <w:r w:rsidRPr="00E902C5">
        <w:rPr>
          <w:szCs w:val="24"/>
        </w:rPr>
        <w:t xml:space="preserve"> features a menu button that consumers may click to view various sections of the website. Defendant displays this information in a pop-up window that consumers may use to navigate to other webpages. Unfortunately, Defendant does not alert screen readers when this pop-up window appears. Instead, screen readers </w:t>
      </w:r>
      <w:r w:rsidRPr="00E902C5">
        <w:rPr>
          <w:szCs w:val="24"/>
        </w:rPr>
        <w:lastRenderedPageBreak/>
        <w:t xml:space="preserve">remain focused on the content of the </w:t>
      </w:r>
      <w:r>
        <w:rPr>
          <w:szCs w:val="24"/>
        </w:rPr>
        <w:t>website’s</w:t>
      </w:r>
      <w:r w:rsidRPr="00E902C5">
        <w:rPr>
          <w:szCs w:val="24"/>
        </w:rPr>
        <w:t xml:space="preserve"> underlying page, making the menu invisible to screen reader users. As a result, it is impossible for Plaintiff</w:t>
      </w:r>
      <w:r>
        <w:rPr>
          <w:szCs w:val="24"/>
        </w:rPr>
        <w:t xml:space="preserve"> to navigate the website with this impor</w:t>
      </w:r>
      <w:r w:rsidRPr="00E902C5">
        <w:rPr>
          <w:szCs w:val="24"/>
        </w:rPr>
        <w:t>tant navigational tool</w:t>
      </w:r>
      <w:r>
        <w:rPr>
          <w:szCs w:val="24"/>
        </w:rPr>
        <w:t xml:space="preserve">. </w:t>
      </w:r>
      <w:r w:rsidRPr="004362C4">
        <w:rPr>
          <w:szCs w:val="24"/>
        </w:rPr>
        <w:t xml:space="preserve">Click the following link to view </w:t>
      </w:r>
      <w:r>
        <w:rPr>
          <w:szCs w:val="24"/>
        </w:rPr>
        <w:t xml:space="preserve">a </w:t>
      </w:r>
      <w:r w:rsidRPr="004362C4">
        <w:rPr>
          <w:szCs w:val="24"/>
        </w:rPr>
        <w:t>short video demonstrating this access barrier</w:t>
      </w:r>
      <w:r>
        <w:rPr>
          <w:szCs w:val="24"/>
        </w:rPr>
        <w:t xml:space="preserve">: </w:t>
      </w:r>
      <w:hyperlink r:id="rId90" w:history="1">
        <w:r w:rsidR="003154B0" w:rsidRPr="00E861F7">
          <w:rPr>
            <w:rStyle w:val="Hyperlink"/>
            <w:szCs w:val="24"/>
          </w:rPr>
          <w:t>https://youtube.com/shorts/GPqLIAjE7ns</w:t>
        </w:r>
      </w:hyperlink>
      <w:r w:rsidR="003154B0">
        <w:rPr>
          <w:szCs w:val="24"/>
        </w:rPr>
        <w:t xml:space="preserve"> (Tate’s Bake Shop).</w:t>
      </w:r>
    </w:p>
    <w:p w14:paraId="6C6DABC7" w14:textId="22499B76" w:rsidR="00C76084" w:rsidRPr="00C76084" w:rsidRDefault="00C76084" w:rsidP="00D83A38">
      <w:pPr>
        <w:spacing w:line="480" w:lineRule="auto"/>
        <w:jc w:val="center"/>
        <w:rPr>
          <w:i/>
          <w:iCs/>
          <w:szCs w:val="24"/>
        </w:rPr>
      </w:pPr>
      <w:r>
        <w:rPr>
          <w:i/>
          <w:iCs/>
          <w:szCs w:val="24"/>
        </w:rPr>
        <w:t>JAWS</w:t>
      </w:r>
    </w:p>
    <w:p w14:paraId="2CF010DD" w14:textId="5C6F0AE7" w:rsidR="003154B0" w:rsidRPr="00501686" w:rsidRDefault="003154B0" w:rsidP="003154B0">
      <w:pPr>
        <w:numPr>
          <w:ilvl w:val="0"/>
          <w:numId w:val="6"/>
        </w:numPr>
        <w:tabs>
          <w:tab w:val="clear" w:pos="1440"/>
        </w:tabs>
        <w:spacing w:line="480" w:lineRule="auto"/>
        <w:ind w:left="0" w:firstLine="1440"/>
        <w:jc w:val="both"/>
        <w:rPr>
          <w:szCs w:val="24"/>
        </w:rPr>
      </w:pPr>
      <w:r>
        <w:rPr>
          <w:noProof/>
          <w:szCs w:val="24"/>
        </w:rPr>
        <w:drawing>
          <wp:anchor distT="0" distB="0" distL="114300" distR="114300" simplePos="0" relativeHeight="251686912" behindDoc="0" locked="0" layoutInCell="1" allowOverlap="1" wp14:anchorId="5F0F60AD" wp14:editId="713F0259">
            <wp:simplePos x="0" y="0"/>
            <wp:positionH relativeFrom="column">
              <wp:posOffset>7620</wp:posOffset>
            </wp:positionH>
            <wp:positionV relativeFrom="paragraph">
              <wp:posOffset>2770505</wp:posOffset>
            </wp:positionV>
            <wp:extent cx="5943600" cy="2932430"/>
            <wp:effectExtent l="0" t="0" r="0" b="1270"/>
            <wp:wrapTight wrapText="bothSides">
              <wp:wrapPolygon edited="0">
                <wp:start x="0" y="0"/>
                <wp:lineTo x="0" y="21469"/>
                <wp:lineTo x="21531" y="21469"/>
                <wp:lineTo x="21531" y="0"/>
                <wp:lineTo x="0" y="0"/>
              </wp:wrapPolygon>
            </wp:wrapTight>
            <wp:docPr id="1" name="Picture 1" descr="This is a screenshot of http://www.mdlzcusthelp.com/. The background includes a telephone number for consumers to text questions: 1-864-58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is a screenshot of http://www.mdlzcusthelp.com/. The background includes a telephone number for consumers to text questions: 1-864-581-246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2932430"/>
                    </a:xfrm>
                    <a:prstGeom prst="rect">
                      <a:avLst/>
                    </a:prstGeom>
                  </pic:spPr>
                </pic:pic>
              </a:graphicData>
            </a:graphic>
          </wp:anchor>
        </w:drawing>
      </w:r>
      <w:r w:rsidRPr="00E902C5">
        <w:rPr>
          <w:szCs w:val="24"/>
        </w:rPr>
        <w:t xml:space="preserve">Defendant does not provide a sufficient text equivalent for many important non-text elements. Providing text alternatives allows information to be rendered in a variety of ways by a variety of consumers. A person who cannot see a picture, logo, or icon can have a text alternative read aloud using synthesized speech. For example, screen reader users will encounter </w:t>
      </w:r>
      <w:r>
        <w:rPr>
          <w:szCs w:val="24"/>
        </w:rPr>
        <w:t xml:space="preserve">an image </w:t>
      </w:r>
      <w:r w:rsidR="00501686">
        <w:rPr>
          <w:szCs w:val="24"/>
        </w:rPr>
        <w:t xml:space="preserve">at </w:t>
      </w:r>
      <w:hyperlink r:id="rId92" w:history="1">
        <w:r w:rsidR="00501686" w:rsidRPr="00847D4B">
          <w:rPr>
            <w:rStyle w:val="Hyperlink"/>
            <w:szCs w:val="24"/>
          </w:rPr>
          <w:t>www.mdlzcusthelp.com</w:t>
        </w:r>
      </w:hyperlink>
      <w:r w:rsidRPr="00E902C5">
        <w:rPr>
          <w:szCs w:val="24"/>
        </w:rPr>
        <w:t xml:space="preserve"> that </w:t>
      </w:r>
      <w:r w:rsidR="00501686">
        <w:rPr>
          <w:szCs w:val="24"/>
        </w:rPr>
        <w:t xml:space="preserve">includes a telephone number that consumers may use to text questions during business hours. Unfortunately, this image lacks </w:t>
      </w:r>
      <w:r w:rsidRPr="00E902C5">
        <w:rPr>
          <w:szCs w:val="24"/>
        </w:rPr>
        <w:t xml:space="preserve">alternative text </w:t>
      </w:r>
      <w:r w:rsidR="00A378FE">
        <w:rPr>
          <w:szCs w:val="24"/>
        </w:rPr>
        <w:t>to notify bind consumers of this important resource</w:t>
      </w:r>
      <w:r w:rsidR="00501686">
        <w:rPr>
          <w:szCs w:val="24"/>
        </w:rPr>
        <w:t xml:space="preserve">. </w:t>
      </w:r>
      <w:r w:rsidRPr="00E902C5">
        <w:rPr>
          <w:szCs w:val="24"/>
        </w:rPr>
        <w:t xml:space="preserve">As </w:t>
      </w:r>
      <w:r w:rsidR="00501686">
        <w:rPr>
          <w:szCs w:val="24"/>
        </w:rPr>
        <w:t>a result, it is unlikely (if not impossible) for screen reader users, including Plaintiff, to contact Defendant for help via text.</w:t>
      </w:r>
    </w:p>
    <w:p w14:paraId="1D042A36" w14:textId="2115CD3A" w:rsidR="007919F7" w:rsidRDefault="00D77E4B" w:rsidP="00E47627">
      <w:pPr>
        <w:numPr>
          <w:ilvl w:val="0"/>
          <w:numId w:val="6"/>
        </w:numPr>
        <w:tabs>
          <w:tab w:val="clear" w:pos="1440"/>
        </w:tabs>
        <w:spacing w:line="480" w:lineRule="auto"/>
        <w:ind w:left="0" w:firstLine="1440"/>
        <w:jc w:val="both"/>
        <w:rPr>
          <w:szCs w:val="24"/>
        </w:rPr>
      </w:pPr>
      <w:r>
        <w:rPr>
          <w:noProof/>
          <w:szCs w:val="24"/>
        </w:rPr>
        <w:lastRenderedPageBreak/>
        <w:drawing>
          <wp:anchor distT="0" distB="0" distL="114300" distR="114300" simplePos="0" relativeHeight="251687936" behindDoc="0" locked="0" layoutInCell="1" allowOverlap="1" wp14:anchorId="3B8CB9B3" wp14:editId="5DE41EC7">
            <wp:simplePos x="0" y="0"/>
            <wp:positionH relativeFrom="column">
              <wp:posOffset>0</wp:posOffset>
            </wp:positionH>
            <wp:positionV relativeFrom="paragraph">
              <wp:posOffset>3123565</wp:posOffset>
            </wp:positionV>
            <wp:extent cx="5943600" cy="2901315"/>
            <wp:effectExtent l="0" t="0" r="0" b="0"/>
            <wp:wrapTight wrapText="bothSides">
              <wp:wrapPolygon edited="0">
                <wp:start x="0" y="0"/>
                <wp:lineTo x="0" y="21416"/>
                <wp:lineTo x="21531" y="21416"/>
                <wp:lineTo x="21531" y="0"/>
                <wp:lineTo x="0" y="0"/>
              </wp:wrapPolygon>
            </wp:wrapTight>
            <wp:docPr id="3" name="Picture 3" descr="This is a screen shot of a size guide at http://www.sourpatchkids.com/. The size guide lacks alternative text describing the measurements for extra small, small, medium, large, extra large, and extra extra large appa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is a screen shot of a size guide at http://www.sourpatchkids.com/. The size guide lacks alternative text describing the measurements for extra small, small, medium, large, extra large, and extra extra large apparel."/>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2901315"/>
                    </a:xfrm>
                    <a:prstGeom prst="rect">
                      <a:avLst/>
                    </a:prstGeom>
                  </pic:spPr>
                </pic:pic>
              </a:graphicData>
            </a:graphic>
          </wp:anchor>
        </w:drawing>
      </w:r>
      <w:r w:rsidR="007919F7">
        <w:rPr>
          <w:szCs w:val="24"/>
        </w:rPr>
        <w:t xml:space="preserve"> </w:t>
      </w:r>
      <w:r>
        <w:rPr>
          <w:szCs w:val="24"/>
        </w:rPr>
        <w:t>Defendant relies on image files to convey other important content as well</w:t>
      </w:r>
      <w:r w:rsidR="007919F7">
        <w:rPr>
          <w:szCs w:val="24"/>
        </w:rPr>
        <w:t>.</w:t>
      </w:r>
      <w:r>
        <w:rPr>
          <w:szCs w:val="24"/>
        </w:rPr>
        <w:t xml:space="preserve"> For example, Defendant displays an image file to describe the measurements of apparel it sells at </w:t>
      </w:r>
      <w:hyperlink r:id="rId94" w:history="1">
        <w:r w:rsidRPr="00847D4B">
          <w:rPr>
            <w:rStyle w:val="Hyperlink"/>
            <w:szCs w:val="24"/>
          </w:rPr>
          <w:t>www.sourpatchkids.com</w:t>
        </w:r>
      </w:hyperlink>
      <w:r>
        <w:rPr>
          <w:szCs w:val="24"/>
        </w:rPr>
        <w:t xml:space="preserve">. </w:t>
      </w:r>
      <w:r w:rsidRPr="00E902C5">
        <w:rPr>
          <w:szCs w:val="24"/>
        </w:rPr>
        <w:t xml:space="preserve">Size guides are particularly important to consumers who shop online because they lack the opportunity to try on products, like the </w:t>
      </w:r>
      <w:r w:rsidRPr="005133DF">
        <w:rPr>
          <w:szCs w:val="24"/>
        </w:rPr>
        <w:t>apparel</w:t>
      </w:r>
      <w:r w:rsidRPr="00E902C5">
        <w:rPr>
          <w:szCs w:val="24"/>
        </w:rPr>
        <w:t xml:space="preserve"> that Defendant sells, before </w:t>
      </w:r>
      <w:r w:rsidR="005133DF">
        <w:rPr>
          <w:szCs w:val="24"/>
        </w:rPr>
        <w:t>making a purchase</w:t>
      </w:r>
      <w:r w:rsidRPr="00E902C5">
        <w:rPr>
          <w:szCs w:val="24"/>
        </w:rPr>
        <w:t xml:space="preserve">. </w:t>
      </w:r>
      <w:r>
        <w:rPr>
          <w:szCs w:val="24"/>
        </w:rPr>
        <w:t xml:space="preserve">Unfortunately, this image lacks </w:t>
      </w:r>
      <w:r w:rsidRPr="00E902C5">
        <w:rPr>
          <w:szCs w:val="24"/>
        </w:rPr>
        <w:t xml:space="preserve">alternative text </w:t>
      </w:r>
      <w:r>
        <w:rPr>
          <w:szCs w:val="24"/>
        </w:rPr>
        <w:t xml:space="preserve">conveying </w:t>
      </w:r>
      <w:r w:rsidR="005133DF">
        <w:rPr>
          <w:szCs w:val="24"/>
        </w:rPr>
        <w:t>the</w:t>
      </w:r>
      <w:r>
        <w:rPr>
          <w:szCs w:val="24"/>
        </w:rPr>
        <w:t xml:space="preserve"> sizing information to consumers who do not perceive content visually. </w:t>
      </w:r>
      <w:r w:rsidRPr="00E902C5">
        <w:rPr>
          <w:szCs w:val="24"/>
        </w:rPr>
        <w:t xml:space="preserve">As a result, screen reader users, including Plaintiff, are unable to access the sizing information they require to confidently purchase </w:t>
      </w:r>
      <w:r w:rsidR="005133DF">
        <w:rPr>
          <w:szCs w:val="24"/>
        </w:rPr>
        <w:t>apparel</w:t>
      </w:r>
      <w:r w:rsidRPr="00E902C5">
        <w:rPr>
          <w:szCs w:val="24"/>
        </w:rPr>
        <w:t xml:space="preserve"> that will fit, making it </w:t>
      </w:r>
      <w:r w:rsidR="005133DF">
        <w:rPr>
          <w:szCs w:val="24"/>
        </w:rPr>
        <w:t xml:space="preserve">more </w:t>
      </w:r>
      <w:r w:rsidRPr="00E902C5">
        <w:rPr>
          <w:szCs w:val="24"/>
        </w:rPr>
        <w:t xml:space="preserve">likely they abandon the online shopping experience before </w:t>
      </w:r>
      <w:r w:rsidR="005133DF">
        <w:rPr>
          <w:szCs w:val="24"/>
        </w:rPr>
        <w:t>completing</w:t>
      </w:r>
      <w:r w:rsidRPr="00E902C5">
        <w:rPr>
          <w:szCs w:val="24"/>
        </w:rPr>
        <w:t xml:space="preserve"> a purchase</w:t>
      </w:r>
      <w:r>
        <w:rPr>
          <w:szCs w:val="24"/>
        </w:rPr>
        <w:t>.</w:t>
      </w:r>
    </w:p>
    <w:p w14:paraId="61B37E93" w14:textId="3291B478" w:rsidR="007919F7" w:rsidRDefault="00D42088" w:rsidP="00E47627">
      <w:pPr>
        <w:numPr>
          <w:ilvl w:val="0"/>
          <w:numId w:val="6"/>
        </w:numPr>
        <w:tabs>
          <w:tab w:val="clear" w:pos="1440"/>
        </w:tabs>
        <w:spacing w:line="480" w:lineRule="auto"/>
        <w:ind w:left="0" w:firstLine="1440"/>
        <w:jc w:val="both"/>
        <w:rPr>
          <w:szCs w:val="24"/>
        </w:rPr>
      </w:pPr>
      <w:r w:rsidRPr="00E902C5">
        <w:rPr>
          <w:szCs w:val="24"/>
        </w:rPr>
        <w:t>Defendant prevents screen reader users from accessing PDF content</w:t>
      </w:r>
      <w:r w:rsidR="003D32AE">
        <w:rPr>
          <w:szCs w:val="24"/>
        </w:rPr>
        <w:t xml:space="preserve"> at </w:t>
      </w:r>
      <w:hyperlink r:id="rId95" w:history="1">
        <w:r w:rsidR="003D32AE" w:rsidRPr="00847D4B">
          <w:rPr>
            <w:rStyle w:val="Hyperlink"/>
            <w:szCs w:val="24"/>
          </w:rPr>
          <w:t>www.mondelezinternational.com</w:t>
        </w:r>
      </w:hyperlink>
      <w:r w:rsidRPr="00E902C5">
        <w:rPr>
          <w:color w:val="000000"/>
          <w:szCs w:val="24"/>
        </w:rPr>
        <w:t xml:space="preserve">. PDF is a file format for representing documents in a manner independent of the application software, hardware, and operating system used to create them, as well as of the output device on which they are to be displayed or printed. PDF files specify the appearance of pages in a document in a reliable, device-independent manner. PDF includes several features in support of accessibility of documents to users with disabilities. The core of this support </w:t>
      </w:r>
      <w:r w:rsidRPr="00E902C5">
        <w:rPr>
          <w:color w:val="000000"/>
          <w:szCs w:val="24"/>
        </w:rPr>
        <w:lastRenderedPageBreak/>
        <w:t xml:space="preserve">lies in the ability to determine the logical order of content in a PDF document, independently of the content’s appearance or layout, through logical structure and Tagged PDF. Applications can extract the content of a document for presentation to users with disabilities by traversing the structure hierarchy and presenting the contents of each node. For this reason, producers of PDF files must ensure that all information in a document is reachable by means of the structure hierarchy. Unfortunately, Defendant has not made the PDFs on its Digital Platform accessible consistent with these principles. As a result, screen reader users, including Plaintiff, cannot access </w:t>
      </w:r>
      <w:r w:rsidR="00641F6A">
        <w:rPr>
          <w:noProof/>
          <w:szCs w:val="24"/>
        </w:rPr>
        <w:drawing>
          <wp:anchor distT="0" distB="0" distL="114300" distR="114300" simplePos="0" relativeHeight="251688960" behindDoc="0" locked="0" layoutInCell="1" allowOverlap="1" wp14:anchorId="1A51CD14" wp14:editId="2F52B4CE">
            <wp:simplePos x="0" y="0"/>
            <wp:positionH relativeFrom="column">
              <wp:posOffset>0</wp:posOffset>
            </wp:positionH>
            <wp:positionV relativeFrom="paragraph">
              <wp:posOffset>2834005</wp:posOffset>
            </wp:positionV>
            <wp:extent cx="5943600" cy="2865120"/>
            <wp:effectExtent l="0" t="0" r="0" b="0"/>
            <wp:wrapTight wrapText="bothSides">
              <wp:wrapPolygon edited="0">
                <wp:start x="0" y="0"/>
                <wp:lineTo x="0" y="21399"/>
                <wp:lineTo x="21531" y="21399"/>
                <wp:lineTo x="21531" y="0"/>
                <wp:lineTo x="0" y="0"/>
              </wp:wrapPolygon>
            </wp:wrapTight>
            <wp:docPr id="4" name="Picture 4" descr="This is a screen shot of a PDF available at http://www.mondelezinternational.com/. The PDF provides information about the history of Philadelphia cream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is is a screen shot of a PDF available at http://www.mondelezinternational.com/. The PDF provides information about the history of Philadelphia cream chees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2865120"/>
                    </a:xfrm>
                    <a:prstGeom prst="rect">
                      <a:avLst/>
                    </a:prstGeom>
                  </pic:spPr>
                </pic:pic>
              </a:graphicData>
            </a:graphic>
          </wp:anchor>
        </w:drawing>
      </w:r>
      <w:r w:rsidRPr="00E902C5">
        <w:rPr>
          <w:color w:val="000000"/>
          <w:szCs w:val="24"/>
        </w:rPr>
        <w:t>the content these PDFs include</w:t>
      </w:r>
      <w:r w:rsidR="00A82090">
        <w:rPr>
          <w:szCs w:val="24"/>
        </w:rPr>
        <w:t>.</w:t>
      </w:r>
    </w:p>
    <w:bookmarkEnd w:id="8"/>
    <w:p w14:paraId="40547502" w14:textId="7CE860FD" w:rsidR="00DB0BA4" w:rsidRPr="00DB0BA4" w:rsidRDefault="00DB0BA4" w:rsidP="00641F6A">
      <w:pPr>
        <w:pStyle w:val="ListParagraph"/>
        <w:spacing w:before="120" w:line="480" w:lineRule="auto"/>
        <w:contextualSpacing w:val="0"/>
        <w:jc w:val="center"/>
        <w:rPr>
          <w:b/>
          <w:bCs/>
          <w:szCs w:val="24"/>
        </w:rPr>
      </w:pPr>
      <w:r>
        <w:rPr>
          <w:b/>
          <w:bCs/>
          <w:szCs w:val="24"/>
        </w:rPr>
        <w:t>Plaintiff’s Injury</w:t>
      </w:r>
    </w:p>
    <w:p w14:paraId="226B6E73" w14:textId="2C5E1BCE" w:rsidR="00DB0BA4" w:rsidRPr="009A1F75" w:rsidRDefault="00C67F89" w:rsidP="00E36B0E">
      <w:pPr>
        <w:pStyle w:val="ListParagraph"/>
        <w:numPr>
          <w:ilvl w:val="0"/>
          <w:numId w:val="1"/>
        </w:numPr>
        <w:tabs>
          <w:tab w:val="clear" w:pos="1440"/>
        </w:tabs>
        <w:spacing w:line="480" w:lineRule="auto"/>
        <w:ind w:left="0" w:firstLine="720"/>
        <w:jc w:val="both"/>
        <w:rPr>
          <w:szCs w:val="24"/>
        </w:rPr>
      </w:pPr>
      <w:r>
        <w:t>As a result of</w:t>
      </w:r>
      <w:r w:rsidR="001219BA">
        <w:t xml:space="preserve"> </w:t>
      </w:r>
      <w:r w:rsidR="009A1F75">
        <w:t>t</w:t>
      </w:r>
      <w:r w:rsidR="001219BA">
        <w:t>he</w:t>
      </w:r>
      <w:r>
        <w:t xml:space="preserve"> </w:t>
      </w:r>
      <w:r w:rsidR="00DB0BA4">
        <w:t xml:space="preserve">access </w:t>
      </w:r>
      <w:r w:rsidR="00DB0BA4" w:rsidRPr="00B15172">
        <w:t>barriers</w:t>
      </w:r>
      <w:r w:rsidR="00DB0BA4">
        <w:t xml:space="preserve"> described above</w:t>
      </w:r>
      <w:r w:rsidR="00DB0BA4" w:rsidRPr="00B15172">
        <w:t xml:space="preserve">, and others, </w:t>
      </w:r>
      <w:r>
        <w:t xml:space="preserve">Defendant fails to communicate information about its </w:t>
      </w:r>
      <w:r w:rsidR="002C7989">
        <w:t>products</w:t>
      </w:r>
      <w:r>
        <w:t xml:space="preserve"> and services to </w:t>
      </w:r>
      <w:r w:rsidR="00263E48">
        <w:t>Douglass</w:t>
      </w:r>
      <w:r>
        <w:t xml:space="preserve"> effectively, </w:t>
      </w:r>
      <w:r w:rsidR="001219BA">
        <w:t xml:space="preserve">which in turn denies </w:t>
      </w:r>
      <w:r w:rsidR="00263E48">
        <w:t>Douglass</w:t>
      </w:r>
      <w:r w:rsidR="00DB0BA4" w:rsidRPr="00B15172">
        <w:t xml:space="preserve"> full and equal access t</w:t>
      </w:r>
      <w:r w:rsidR="00DB0BA4">
        <w:t xml:space="preserve">o </w:t>
      </w:r>
      <w:r w:rsidR="001219BA">
        <w:t xml:space="preserve">Defendant’s </w:t>
      </w:r>
      <w:r w:rsidR="00FE7290">
        <w:t>Digital Platform</w:t>
      </w:r>
      <w:r w:rsidR="001219BA">
        <w:t xml:space="preserve"> and deters him from returning to the store in the future</w:t>
      </w:r>
      <w:r w:rsidR="00DB0BA4">
        <w:t>.</w:t>
      </w:r>
      <w:r w:rsidR="00DB0BA4">
        <w:rPr>
          <w:rStyle w:val="FootnoteReference"/>
        </w:rPr>
        <w:footnoteReference w:id="37"/>
      </w:r>
    </w:p>
    <w:p w14:paraId="0E7900D4" w14:textId="63E21FAB" w:rsidR="00DB0BA4" w:rsidRDefault="00DB0BA4" w:rsidP="00E36B0E">
      <w:pPr>
        <w:pStyle w:val="ListParagraph"/>
        <w:numPr>
          <w:ilvl w:val="0"/>
          <w:numId w:val="1"/>
        </w:numPr>
        <w:tabs>
          <w:tab w:val="clear" w:pos="1440"/>
        </w:tabs>
        <w:spacing w:line="480" w:lineRule="auto"/>
        <w:ind w:left="0" w:firstLine="720"/>
        <w:jc w:val="both"/>
        <w:rPr>
          <w:szCs w:val="24"/>
        </w:rPr>
      </w:pPr>
      <w:r>
        <w:lastRenderedPageBreak/>
        <w:t xml:space="preserve">Still, </w:t>
      </w:r>
      <w:r w:rsidR="00D818A2">
        <w:t>Douglass</w:t>
      </w:r>
      <w:r w:rsidRPr="00B15172">
        <w:t xml:space="preserve"> </w:t>
      </w:r>
      <w:r>
        <w:t xml:space="preserve">intends to attempt to access </w:t>
      </w:r>
      <w:r>
        <w:rPr>
          <w:szCs w:val="24"/>
        </w:rPr>
        <w:t xml:space="preserve">the </w:t>
      </w:r>
      <w:r>
        <w:t xml:space="preserve">Digital Platform </w:t>
      </w:r>
      <w:r w:rsidR="00DD28A8">
        <w:t xml:space="preserve">within the next </w:t>
      </w:r>
      <w:r w:rsidR="00DE4520">
        <w:t>six</w:t>
      </w:r>
      <w:r w:rsidR="00DD28A8">
        <w:t xml:space="preserve"> months </w:t>
      </w:r>
      <w:r>
        <w:t xml:space="preserve">to research the </w:t>
      </w:r>
      <w:r w:rsidR="002C7989">
        <w:t>products</w:t>
      </w:r>
      <w:r w:rsidR="00263E48">
        <w:t xml:space="preserve">, </w:t>
      </w:r>
      <w:r>
        <w:t>services</w:t>
      </w:r>
      <w:r w:rsidR="00263E48">
        <w:t>, and content</w:t>
      </w:r>
      <w:r>
        <w:t xml:space="preserve"> Defendant offers </w:t>
      </w:r>
      <w:r w:rsidR="00E67C1E">
        <w:t>and</w:t>
      </w:r>
      <w:r>
        <w:t xml:space="preserve"> to test the Digital Platform </w:t>
      </w:r>
      <w:r w:rsidR="00E67C1E">
        <w:t>to determine whether it is fully and equally accessible to blind consumers</w:t>
      </w:r>
      <w:r>
        <w:t>.</w:t>
      </w:r>
      <w:r w:rsidR="00DD28A8">
        <w:rPr>
          <w:rStyle w:val="FootnoteReference"/>
        </w:rPr>
        <w:footnoteReference w:id="38"/>
      </w:r>
    </w:p>
    <w:p w14:paraId="4E121F51" w14:textId="56CA46F5" w:rsidR="00DB0BA4" w:rsidRDefault="00DB0BA4" w:rsidP="00E36B0E">
      <w:pPr>
        <w:numPr>
          <w:ilvl w:val="0"/>
          <w:numId w:val="1"/>
        </w:numPr>
        <w:tabs>
          <w:tab w:val="clear" w:pos="1440"/>
        </w:tabs>
        <w:spacing w:line="480" w:lineRule="auto"/>
        <w:ind w:left="0" w:firstLine="720"/>
        <w:jc w:val="both"/>
        <w:rPr>
          <w:szCs w:val="24"/>
        </w:rPr>
      </w:pPr>
      <w:r>
        <w:t>If the Digital Platform were accessible</w:t>
      </w:r>
      <w:r w:rsidR="00B3008D">
        <w:t xml:space="preserve"> (</w:t>
      </w:r>
      <w:proofErr w:type="gramStart"/>
      <w:r w:rsidRPr="0056064F">
        <w:rPr>
          <w:i/>
        </w:rPr>
        <w:t>i.e.</w:t>
      </w:r>
      <w:proofErr w:type="gramEnd"/>
      <w:r>
        <w:t xml:space="preserve"> if </w:t>
      </w:r>
      <w:r>
        <w:rPr>
          <w:szCs w:val="24"/>
        </w:rPr>
        <w:t xml:space="preserve">Defendant </w:t>
      </w:r>
      <w:r>
        <w:t xml:space="preserve">removed the access barriers and implemented the practices described </w:t>
      </w:r>
      <w:r w:rsidR="00DE4520">
        <w:t>herein</w:t>
      </w:r>
      <w:r w:rsidR="00B3008D">
        <w:t>)</w:t>
      </w:r>
      <w:r>
        <w:t xml:space="preserve">, </w:t>
      </w:r>
      <w:r w:rsidR="00D818A2">
        <w:t>Douglass</w:t>
      </w:r>
      <w:r w:rsidRPr="00B15172">
        <w:t xml:space="preserve"> </w:t>
      </w:r>
      <w:r>
        <w:t xml:space="preserve">could </w:t>
      </w:r>
      <w:r w:rsidR="00E67C1E">
        <w:t xml:space="preserve">fully, equally, and </w:t>
      </w:r>
      <w:r>
        <w:t xml:space="preserve">independently access Defendant’s </w:t>
      </w:r>
      <w:r w:rsidR="00E67C1E">
        <w:t>online store</w:t>
      </w:r>
      <w:r>
        <w:rPr>
          <w:szCs w:val="24"/>
        </w:rPr>
        <w:t>.</w:t>
      </w:r>
    </w:p>
    <w:p w14:paraId="64C6DA8D" w14:textId="59F42A76" w:rsidR="00DB0BA4" w:rsidRPr="00DB0BA4" w:rsidRDefault="00DB0BA4" w:rsidP="00263E48">
      <w:pPr>
        <w:keepNext/>
        <w:spacing w:line="480" w:lineRule="auto"/>
        <w:jc w:val="center"/>
        <w:rPr>
          <w:b/>
          <w:bCs/>
          <w:szCs w:val="24"/>
        </w:rPr>
      </w:pPr>
      <w:r>
        <w:rPr>
          <w:b/>
          <w:bCs/>
          <w:szCs w:val="24"/>
        </w:rPr>
        <w:t>Defendant’s Digital Platform Must Comply with the ADA</w:t>
      </w:r>
    </w:p>
    <w:p w14:paraId="2C04C03F" w14:textId="373EBE7D" w:rsidR="00DB0BA4" w:rsidRDefault="00DB0BA4" w:rsidP="00E36B0E">
      <w:pPr>
        <w:pStyle w:val="ListParagraph"/>
        <w:numPr>
          <w:ilvl w:val="0"/>
          <w:numId w:val="1"/>
        </w:numPr>
        <w:tabs>
          <w:tab w:val="clear" w:pos="1440"/>
        </w:tabs>
        <w:spacing w:line="480" w:lineRule="auto"/>
        <w:ind w:left="0" w:firstLine="720"/>
        <w:jc w:val="both"/>
        <w:rPr>
          <w:szCs w:val="24"/>
        </w:rPr>
      </w:pPr>
      <w:bookmarkStart w:id="22" w:name="_Hlk38617637"/>
      <w:r w:rsidRPr="00D87BEA">
        <w:rPr>
          <w:szCs w:val="24"/>
        </w:rPr>
        <w:t>The ADA “as a whole is intended ‘to provide a clear and comprehensive national mandate for the elimination of discrimination against individuals with disabilities.’”</w:t>
      </w:r>
      <w:r w:rsidR="00DE4520">
        <w:rPr>
          <w:rStyle w:val="FootnoteReference"/>
          <w:szCs w:val="24"/>
        </w:rPr>
        <w:footnoteReference w:id="39"/>
      </w:r>
    </w:p>
    <w:p w14:paraId="4D50076E" w14:textId="20406A53" w:rsidR="00DB0BA4" w:rsidRDefault="00DB0BA4" w:rsidP="00E36B0E">
      <w:pPr>
        <w:pStyle w:val="ListParagraph"/>
        <w:numPr>
          <w:ilvl w:val="0"/>
          <w:numId w:val="1"/>
        </w:numPr>
        <w:tabs>
          <w:tab w:val="clear" w:pos="1440"/>
        </w:tabs>
        <w:spacing w:line="480" w:lineRule="auto"/>
        <w:ind w:left="0" w:firstLine="720"/>
        <w:jc w:val="both"/>
        <w:rPr>
          <w:szCs w:val="24"/>
        </w:rPr>
      </w:pPr>
      <w:bookmarkStart w:id="23" w:name="_Hlk38617629"/>
      <w:bookmarkEnd w:id="22"/>
      <w:r w:rsidRPr="00D87BEA">
        <w:rPr>
          <w:szCs w:val="24"/>
        </w:rPr>
        <w:t xml:space="preserve">Title III advances that goal by providing that “[n]o individual shall be discriminated against on the basis of disability in the full and equal enjoyment of the </w:t>
      </w:r>
      <w:r w:rsidR="002C7989">
        <w:rPr>
          <w:szCs w:val="24"/>
        </w:rPr>
        <w:t>products</w:t>
      </w:r>
      <w:r w:rsidRPr="00D87BEA">
        <w:rPr>
          <w:szCs w:val="24"/>
        </w:rPr>
        <w:t>, services, facilities, privileges, advantages, or accommodations of any place of public accommodation by any person who owns, leases (or leases to), or operates a place of public accommodation.”</w:t>
      </w:r>
      <w:r w:rsidR="00DE4520">
        <w:rPr>
          <w:rStyle w:val="FootnoteReference"/>
          <w:szCs w:val="24"/>
        </w:rPr>
        <w:footnoteReference w:id="40"/>
      </w:r>
    </w:p>
    <w:p w14:paraId="1239D8F0" w14:textId="6BC30FA9" w:rsidR="00DB0BA4" w:rsidRDefault="00DB0BA4" w:rsidP="00E36B0E">
      <w:pPr>
        <w:pStyle w:val="ListParagraph"/>
        <w:numPr>
          <w:ilvl w:val="0"/>
          <w:numId w:val="1"/>
        </w:numPr>
        <w:tabs>
          <w:tab w:val="clear" w:pos="1440"/>
        </w:tabs>
        <w:spacing w:line="480" w:lineRule="auto"/>
        <w:ind w:left="0" w:firstLine="720"/>
        <w:jc w:val="both"/>
        <w:rPr>
          <w:szCs w:val="24"/>
        </w:rPr>
      </w:pPr>
      <w:bookmarkStart w:id="24" w:name="_Hlk38617620"/>
      <w:bookmarkEnd w:id="23"/>
      <w:r w:rsidRPr="006C6B87">
        <w:rPr>
          <w:szCs w:val="24"/>
        </w:rPr>
        <w:t xml:space="preserve">DOJ regulations require that a public accommodation “furnish appropriate auxiliary aids and services where necessary to ensure </w:t>
      </w:r>
      <w:r w:rsidRPr="005E6ECE">
        <w:rPr>
          <w:szCs w:val="24"/>
        </w:rPr>
        <w:t>effective communication</w:t>
      </w:r>
      <w:r w:rsidRPr="006C6B87">
        <w:rPr>
          <w:szCs w:val="24"/>
        </w:rPr>
        <w:t xml:space="preserve"> with individuals with disabilities.”</w:t>
      </w:r>
      <w:r w:rsidR="00DE4520">
        <w:rPr>
          <w:rStyle w:val="FootnoteReference"/>
          <w:szCs w:val="24"/>
        </w:rPr>
        <w:footnoteReference w:id="41"/>
      </w:r>
    </w:p>
    <w:p w14:paraId="504417B9" w14:textId="6D7BCB79" w:rsidR="00DB0BA4" w:rsidRPr="006C6B87" w:rsidRDefault="00DB0BA4" w:rsidP="00E36B0E">
      <w:pPr>
        <w:pStyle w:val="ListParagraph"/>
        <w:numPr>
          <w:ilvl w:val="0"/>
          <w:numId w:val="1"/>
        </w:numPr>
        <w:tabs>
          <w:tab w:val="clear" w:pos="1440"/>
        </w:tabs>
        <w:spacing w:line="480" w:lineRule="auto"/>
        <w:ind w:left="0" w:firstLine="720"/>
        <w:jc w:val="both"/>
        <w:rPr>
          <w:szCs w:val="24"/>
        </w:rPr>
      </w:pPr>
      <w:bookmarkStart w:id="25" w:name="_Hlk38617612"/>
      <w:bookmarkEnd w:id="24"/>
      <w:r w:rsidRPr="006C6B87">
        <w:rPr>
          <w:szCs w:val="24"/>
        </w:rPr>
        <w:lastRenderedPageBreak/>
        <w:t>DOJ defines “auxiliary aids and services” to include “accessible electronic and information technology” or “other effective methods of making visually delivered materials available to individuals who are blind or have low vision.”</w:t>
      </w:r>
      <w:r w:rsidR="00DE4520">
        <w:rPr>
          <w:rStyle w:val="FootnoteReference"/>
          <w:szCs w:val="24"/>
        </w:rPr>
        <w:footnoteReference w:id="42"/>
      </w:r>
    </w:p>
    <w:p w14:paraId="5F4EF84F" w14:textId="759AED32" w:rsidR="00DB0BA4" w:rsidRDefault="00DB0BA4" w:rsidP="00E36B0E">
      <w:pPr>
        <w:pStyle w:val="ListParagraph"/>
        <w:numPr>
          <w:ilvl w:val="0"/>
          <w:numId w:val="1"/>
        </w:numPr>
        <w:tabs>
          <w:tab w:val="clear" w:pos="1440"/>
        </w:tabs>
        <w:spacing w:line="480" w:lineRule="auto"/>
        <w:ind w:left="0" w:firstLine="720"/>
        <w:jc w:val="both"/>
        <w:rPr>
          <w:szCs w:val="24"/>
        </w:rPr>
      </w:pPr>
      <w:bookmarkStart w:id="26" w:name="_Hlk38617602"/>
      <w:bookmarkEnd w:id="25"/>
      <w:r>
        <w:t>Therefore, the ADA mandates that places of public accommodation provide auxiliary aids and services to make visual materials available to individuals who are blind.</w:t>
      </w:r>
      <w:r w:rsidR="00DE4520">
        <w:rPr>
          <w:rStyle w:val="FootnoteReference"/>
        </w:rPr>
        <w:footnoteReference w:id="43"/>
      </w:r>
    </w:p>
    <w:p w14:paraId="7398E250" w14:textId="3466A78D" w:rsidR="00DB0BA4" w:rsidRDefault="00DB0BA4" w:rsidP="00E36B0E">
      <w:pPr>
        <w:pStyle w:val="ListParagraph"/>
        <w:numPr>
          <w:ilvl w:val="0"/>
          <w:numId w:val="1"/>
        </w:numPr>
        <w:tabs>
          <w:tab w:val="clear" w:pos="1440"/>
        </w:tabs>
        <w:spacing w:line="480" w:lineRule="auto"/>
        <w:ind w:left="0" w:firstLine="720"/>
        <w:jc w:val="both"/>
        <w:rPr>
          <w:szCs w:val="24"/>
        </w:rPr>
      </w:pPr>
      <w:bookmarkStart w:id="27" w:name="_Hlk38617590"/>
      <w:bookmarkEnd w:id="26"/>
      <w:r w:rsidRPr="00AD16F8">
        <w:rPr>
          <w:szCs w:val="24"/>
        </w:rPr>
        <w:t xml:space="preserve">Defendant </w:t>
      </w:r>
      <w:r>
        <w:rPr>
          <w:szCs w:val="24"/>
        </w:rPr>
        <w:t>is a</w:t>
      </w:r>
      <w:r w:rsidRPr="00AD16F8">
        <w:rPr>
          <w:szCs w:val="24"/>
        </w:rPr>
        <w:t xml:space="preserve"> place of public accommodation under the ADA because </w:t>
      </w:r>
      <w:r>
        <w:rPr>
          <w:szCs w:val="24"/>
        </w:rPr>
        <w:t>it is a</w:t>
      </w:r>
      <w:r w:rsidRPr="00AD16F8">
        <w:rPr>
          <w:szCs w:val="24"/>
        </w:rPr>
        <w:t xml:space="preserve"> “sales or rental establishment” and/or “other service establishment.”</w:t>
      </w:r>
      <w:r w:rsidR="00D64E6D">
        <w:rPr>
          <w:rStyle w:val="FootnoteReference"/>
          <w:szCs w:val="24"/>
        </w:rPr>
        <w:footnoteReference w:id="44"/>
      </w:r>
    </w:p>
    <w:bookmarkEnd w:id="27"/>
    <w:p w14:paraId="4B2EFB51" w14:textId="77777777" w:rsidR="00DB0BA4" w:rsidRDefault="00DB0BA4" w:rsidP="00E36B0E">
      <w:pPr>
        <w:pStyle w:val="ListParagraph"/>
        <w:numPr>
          <w:ilvl w:val="0"/>
          <w:numId w:val="1"/>
        </w:numPr>
        <w:tabs>
          <w:tab w:val="clear" w:pos="1440"/>
        </w:tabs>
        <w:spacing w:line="480" w:lineRule="auto"/>
        <w:ind w:left="0" w:firstLine="720"/>
        <w:jc w:val="both"/>
        <w:rPr>
          <w:szCs w:val="24"/>
        </w:rPr>
      </w:pPr>
      <w:r>
        <w:rPr>
          <w:szCs w:val="24"/>
        </w:rPr>
        <w:t xml:space="preserve">The Digital Platform is a service, facility, advantage, or accommodation of Defendant. </w:t>
      </w:r>
    </w:p>
    <w:p w14:paraId="646C2DC3" w14:textId="77777777" w:rsidR="00DB0BA4" w:rsidRDefault="00DB0BA4" w:rsidP="00E36B0E">
      <w:pPr>
        <w:pStyle w:val="ListParagraph"/>
        <w:numPr>
          <w:ilvl w:val="0"/>
          <w:numId w:val="1"/>
        </w:numPr>
        <w:tabs>
          <w:tab w:val="clear" w:pos="1440"/>
        </w:tabs>
        <w:spacing w:line="480" w:lineRule="auto"/>
        <w:ind w:left="0" w:firstLine="720"/>
        <w:jc w:val="both"/>
        <w:rPr>
          <w:szCs w:val="24"/>
        </w:rPr>
      </w:pPr>
      <w:r>
        <w:rPr>
          <w:szCs w:val="24"/>
        </w:rPr>
        <w:t>As a service, facility, advantage, or accommodation of Defendant, Defendant must ensure blind patrons have full and equal access to the Digital Platform.</w:t>
      </w:r>
    </w:p>
    <w:p w14:paraId="6A1A0693" w14:textId="2B02C5F1" w:rsidR="00ED7591" w:rsidRPr="0068794D" w:rsidRDefault="00DB0BA4" w:rsidP="00E36B0E">
      <w:pPr>
        <w:numPr>
          <w:ilvl w:val="0"/>
          <w:numId w:val="1"/>
        </w:numPr>
        <w:tabs>
          <w:tab w:val="clear" w:pos="1440"/>
        </w:tabs>
        <w:spacing w:line="480" w:lineRule="auto"/>
        <w:ind w:left="0" w:firstLine="720"/>
        <w:jc w:val="both"/>
        <w:rPr>
          <w:szCs w:val="24"/>
        </w:rPr>
      </w:pPr>
      <w:bookmarkStart w:id="28" w:name="_Hlk38617581"/>
      <w:r>
        <w:rPr>
          <w:szCs w:val="24"/>
        </w:rPr>
        <w:t>Indeed, t</w:t>
      </w:r>
      <w:r w:rsidRPr="006C6B87">
        <w:rPr>
          <w:szCs w:val="24"/>
        </w:rPr>
        <w:t>he ADA expressly provides that a place of public</w:t>
      </w:r>
      <w:r>
        <w:rPr>
          <w:szCs w:val="24"/>
        </w:rPr>
        <w:t xml:space="preserve"> </w:t>
      </w:r>
      <w:r w:rsidRPr="006C6B87">
        <w:rPr>
          <w:szCs w:val="24"/>
        </w:rPr>
        <w:t>accommodation engages in unlawful</w:t>
      </w:r>
      <w:r>
        <w:rPr>
          <w:szCs w:val="24"/>
        </w:rPr>
        <w:t xml:space="preserve"> </w:t>
      </w:r>
      <w:r w:rsidRPr="006C6B87">
        <w:rPr>
          <w:szCs w:val="24"/>
        </w:rPr>
        <w:t>discrimination if it fails to “take such steps as may be</w:t>
      </w:r>
      <w:r>
        <w:rPr>
          <w:szCs w:val="24"/>
        </w:rPr>
        <w:t xml:space="preserve"> </w:t>
      </w:r>
      <w:r w:rsidRPr="006C6B87">
        <w:rPr>
          <w:szCs w:val="24"/>
        </w:rPr>
        <w:t>necessary to ensure that no individual with a disability is</w:t>
      </w:r>
      <w:r>
        <w:rPr>
          <w:szCs w:val="24"/>
        </w:rPr>
        <w:t xml:space="preserve"> </w:t>
      </w:r>
      <w:r w:rsidRPr="006C6B87">
        <w:rPr>
          <w:szCs w:val="24"/>
        </w:rPr>
        <w:t>excluded, denied services, segregated or otherwise treated</w:t>
      </w:r>
      <w:r>
        <w:rPr>
          <w:szCs w:val="24"/>
        </w:rPr>
        <w:t xml:space="preserve"> </w:t>
      </w:r>
      <w:r w:rsidRPr="006C6B87">
        <w:rPr>
          <w:szCs w:val="24"/>
        </w:rPr>
        <w:t>differently than other individuals because of the absence of</w:t>
      </w:r>
      <w:r>
        <w:rPr>
          <w:szCs w:val="24"/>
        </w:rPr>
        <w:t xml:space="preserve"> </w:t>
      </w:r>
      <w:r w:rsidRPr="006C6B87">
        <w:rPr>
          <w:szCs w:val="24"/>
        </w:rPr>
        <w:t>auxiliary aids and services.”</w:t>
      </w:r>
      <w:r w:rsidR="00D64E6D">
        <w:rPr>
          <w:rStyle w:val="FootnoteReference"/>
          <w:szCs w:val="24"/>
        </w:rPr>
        <w:footnoteReference w:id="45"/>
      </w:r>
      <w:bookmarkEnd w:id="28"/>
    </w:p>
    <w:p w14:paraId="356DC15B" w14:textId="78B02688" w:rsidR="00DB0BA4" w:rsidRPr="00DB0BA4" w:rsidRDefault="00DB0BA4" w:rsidP="00263E48">
      <w:pPr>
        <w:keepNext/>
        <w:spacing w:line="480" w:lineRule="auto"/>
        <w:jc w:val="center"/>
        <w:rPr>
          <w:b/>
          <w:bCs/>
          <w:szCs w:val="24"/>
        </w:rPr>
      </w:pPr>
      <w:r>
        <w:rPr>
          <w:b/>
          <w:bCs/>
          <w:szCs w:val="24"/>
        </w:rPr>
        <w:t>Defendant Received Fair Notice of its ADA Obligations</w:t>
      </w:r>
    </w:p>
    <w:p w14:paraId="247730B8" w14:textId="619204A4" w:rsidR="00DB0BA4" w:rsidRDefault="00DB0BA4" w:rsidP="00E36B0E">
      <w:pPr>
        <w:pStyle w:val="ListParagraph"/>
        <w:numPr>
          <w:ilvl w:val="0"/>
          <w:numId w:val="1"/>
        </w:numPr>
        <w:tabs>
          <w:tab w:val="clear" w:pos="1440"/>
        </w:tabs>
        <w:spacing w:line="480" w:lineRule="auto"/>
        <w:ind w:left="0" w:firstLine="720"/>
        <w:jc w:val="both"/>
        <w:rPr>
          <w:szCs w:val="24"/>
        </w:rPr>
      </w:pPr>
      <w:bookmarkStart w:id="29" w:name="_Hlk38617225"/>
      <w:r w:rsidRPr="007A56CB">
        <w:rPr>
          <w:szCs w:val="24"/>
        </w:rPr>
        <w:t xml:space="preserve">Defendant and other covered entities have </w:t>
      </w:r>
      <w:r w:rsidR="00E67C1E">
        <w:rPr>
          <w:szCs w:val="24"/>
        </w:rPr>
        <w:t xml:space="preserve">known since at least 1996 that public accommodations must </w:t>
      </w:r>
      <w:r w:rsidRPr="007A56CB">
        <w:rPr>
          <w:szCs w:val="24"/>
        </w:rPr>
        <w:t>offer individuals with disabilities an equal opportunity to access</w:t>
      </w:r>
      <w:r w:rsidR="00E67C1E">
        <w:rPr>
          <w:szCs w:val="24"/>
        </w:rPr>
        <w:t xml:space="preserve"> digital marketplaces</w:t>
      </w:r>
      <w:r w:rsidRPr="00F5014A">
        <w:rPr>
          <w:szCs w:val="24"/>
        </w:rPr>
        <w:t>.</w:t>
      </w:r>
    </w:p>
    <w:p w14:paraId="0B94CB87" w14:textId="2E030D22" w:rsidR="00DB0BA4" w:rsidRDefault="00DB0BA4" w:rsidP="00E36B0E">
      <w:pPr>
        <w:pStyle w:val="ListParagraph"/>
        <w:numPr>
          <w:ilvl w:val="0"/>
          <w:numId w:val="1"/>
        </w:numPr>
        <w:tabs>
          <w:tab w:val="clear" w:pos="1440"/>
        </w:tabs>
        <w:spacing w:line="480" w:lineRule="auto"/>
        <w:ind w:left="0" w:firstLine="720"/>
        <w:jc w:val="both"/>
        <w:rPr>
          <w:szCs w:val="24"/>
        </w:rPr>
      </w:pPr>
      <w:bookmarkStart w:id="30" w:name="_Hlk38617288"/>
      <w:r w:rsidRPr="00F5014A">
        <w:rPr>
          <w:szCs w:val="24"/>
        </w:rPr>
        <w:lastRenderedPageBreak/>
        <w:t xml:space="preserve">Since its enactment in 1990, the ADA has clearly stated that covered entities must provide </w:t>
      </w:r>
      <w:r w:rsidR="00A4666E">
        <w:rPr>
          <w:szCs w:val="24"/>
        </w:rPr>
        <w:t>“</w:t>
      </w:r>
      <w:r w:rsidRPr="00F5014A">
        <w:rPr>
          <w:szCs w:val="24"/>
        </w:rPr>
        <w:t>full and equal enjoyment of the[</w:t>
      </w:r>
      <w:proofErr w:type="spellStart"/>
      <w:r w:rsidRPr="00F5014A">
        <w:rPr>
          <w:szCs w:val="24"/>
        </w:rPr>
        <w:t>ir</w:t>
      </w:r>
      <w:proofErr w:type="spellEnd"/>
      <w:r w:rsidRPr="00F5014A">
        <w:rPr>
          <w:szCs w:val="24"/>
        </w:rPr>
        <w:t>] goods, services, facilities, privileges, advantages, or accommodations</w:t>
      </w:r>
      <w:r w:rsidR="00A4666E">
        <w:rPr>
          <w:szCs w:val="24"/>
        </w:rPr>
        <w:t>”</w:t>
      </w:r>
      <w:r w:rsidRPr="00F5014A">
        <w:rPr>
          <w:szCs w:val="24"/>
        </w:rPr>
        <w:t xml:space="preserve"> to people with disabilities,</w:t>
      </w:r>
      <w:r w:rsidR="00D64E6D">
        <w:rPr>
          <w:rStyle w:val="FootnoteReference"/>
          <w:szCs w:val="24"/>
        </w:rPr>
        <w:footnoteReference w:id="46"/>
      </w:r>
      <w:r w:rsidRPr="00F5014A">
        <w:rPr>
          <w:szCs w:val="24"/>
        </w:rPr>
        <w:t xml:space="preserve"> and must </w:t>
      </w:r>
      <w:r w:rsidR="00A4666E">
        <w:rPr>
          <w:szCs w:val="24"/>
        </w:rPr>
        <w:t>“</w:t>
      </w:r>
      <w:r w:rsidRPr="00F5014A">
        <w:rPr>
          <w:szCs w:val="24"/>
        </w:rPr>
        <w:t>ensure that no individual with a disability is excluded, denied services, segregated or otherwise treated differently than other individuals because of the absence of auxiliary aids and services</w:t>
      </w:r>
      <w:r>
        <w:rPr>
          <w:szCs w:val="24"/>
        </w:rPr>
        <w:t>.</w:t>
      </w:r>
      <w:r w:rsidR="00A4666E">
        <w:rPr>
          <w:szCs w:val="24"/>
        </w:rPr>
        <w:t>”</w:t>
      </w:r>
      <w:r w:rsidR="00D64E6D">
        <w:rPr>
          <w:rStyle w:val="FootnoteReference"/>
          <w:szCs w:val="24"/>
        </w:rPr>
        <w:footnoteReference w:id="47"/>
      </w:r>
      <w:bookmarkEnd w:id="30"/>
    </w:p>
    <w:p w14:paraId="6650B4DC" w14:textId="360A17D8" w:rsidR="00DB0BA4" w:rsidRDefault="00DB0BA4" w:rsidP="00E36B0E">
      <w:pPr>
        <w:pStyle w:val="ListParagraph"/>
        <w:numPr>
          <w:ilvl w:val="0"/>
          <w:numId w:val="1"/>
        </w:numPr>
        <w:tabs>
          <w:tab w:val="clear" w:pos="1440"/>
        </w:tabs>
        <w:spacing w:line="480" w:lineRule="auto"/>
        <w:ind w:left="0" w:firstLine="720"/>
        <w:jc w:val="both"/>
        <w:rPr>
          <w:szCs w:val="24"/>
        </w:rPr>
      </w:pPr>
      <w:r>
        <w:rPr>
          <w:szCs w:val="24"/>
        </w:rPr>
        <w:t>The</w:t>
      </w:r>
      <w:r w:rsidRPr="00F5014A">
        <w:rPr>
          <w:szCs w:val="24"/>
        </w:rPr>
        <w:t xml:space="preserve"> </w:t>
      </w:r>
      <w:r>
        <w:rPr>
          <w:szCs w:val="24"/>
        </w:rPr>
        <w:t xml:space="preserve">United States Department of Justice (“DOJ”) </w:t>
      </w:r>
      <w:r w:rsidR="00E67C1E">
        <w:rPr>
          <w:szCs w:val="24"/>
        </w:rPr>
        <w:t>confirmed</w:t>
      </w:r>
      <w:r>
        <w:rPr>
          <w:szCs w:val="24"/>
        </w:rPr>
        <w:t xml:space="preserve"> Title III applies to websites of public accommodations in a 1996 letter from Assistant Attorney General Deval Patrick responding to an inquiry by Senator Tom Harkin regarding the accessibility of websites to blind individuals.</w:t>
      </w:r>
      <w:r>
        <w:rPr>
          <w:rStyle w:val="FootnoteReference"/>
          <w:szCs w:val="24"/>
        </w:rPr>
        <w:footnoteReference w:id="48"/>
      </w:r>
    </w:p>
    <w:p w14:paraId="41374C51" w14:textId="29EB9D5E" w:rsidR="00DB0BA4" w:rsidRDefault="00DB0BA4" w:rsidP="00E36B0E">
      <w:pPr>
        <w:pStyle w:val="ListParagraph"/>
        <w:numPr>
          <w:ilvl w:val="0"/>
          <w:numId w:val="1"/>
        </w:numPr>
        <w:tabs>
          <w:tab w:val="clear" w:pos="1440"/>
        </w:tabs>
        <w:spacing w:line="480" w:lineRule="auto"/>
        <w:ind w:left="0" w:firstLine="720"/>
        <w:jc w:val="both"/>
        <w:rPr>
          <w:szCs w:val="24"/>
        </w:rPr>
      </w:pPr>
      <w:bookmarkStart w:id="31" w:name="_Hlk38617317"/>
      <w:r>
        <w:rPr>
          <w:szCs w:val="24"/>
        </w:rPr>
        <w:t xml:space="preserve">Since then, </w:t>
      </w:r>
      <w:r w:rsidRPr="0091393D">
        <w:rPr>
          <w:szCs w:val="24"/>
        </w:rPr>
        <w:t xml:space="preserve">DOJ has </w:t>
      </w:r>
      <w:r w:rsidR="00A4666E">
        <w:rPr>
          <w:szCs w:val="24"/>
        </w:rPr>
        <w:t>“</w:t>
      </w:r>
      <w:r w:rsidRPr="0091393D">
        <w:rPr>
          <w:szCs w:val="24"/>
        </w:rPr>
        <w:t>repeatedly affirmed the application of [T]</w:t>
      </w:r>
      <w:proofErr w:type="spellStart"/>
      <w:r w:rsidRPr="0091393D">
        <w:rPr>
          <w:szCs w:val="24"/>
        </w:rPr>
        <w:t>itle</w:t>
      </w:r>
      <w:proofErr w:type="spellEnd"/>
      <w:r w:rsidRPr="0091393D">
        <w:rPr>
          <w:szCs w:val="24"/>
        </w:rPr>
        <w:t xml:space="preserve"> III to Web sites of public accommodations.</w:t>
      </w:r>
      <w:r w:rsidR="00A4666E">
        <w:rPr>
          <w:szCs w:val="24"/>
        </w:rPr>
        <w:t>”</w:t>
      </w:r>
      <w:r w:rsidR="00D64E6D">
        <w:rPr>
          <w:rStyle w:val="FootnoteReference"/>
          <w:szCs w:val="24"/>
        </w:rPr>
        <w:footnoteReference w:id="49"/>
      </w:r>
    </w:p>
    <w:p w14:paraId="01778497" w14:textId="54C27E03" w:rsidR="00DB0BA4" w:rsidRDefault="00DB0BA4" w:rsidP="00E36B0E">
      <w:pPr>
        <w:pStyle w:val="ListParagraph"/>
        <w:numPr>
          <w:ilvl w:val="0"/>
          <w:numId w:val="1"/>
        </w:numPr>
        <w:tabs>
          <w:tab w:val="clear" w:pos="1440"/>
        </w:tabs>
        <w:spacing w:line="480" w:lineRule="auto"/>
        <w:ind w:left="0" w:firstLine="720"/>
        <w:jc w:val="both"/>
        <w:rPr>
          <w:szCs w:val="24"/>
        </w:rPr>
      </w:pPr>
      <w:bookmarkStart w:id="32" w:name="_Hlk38617325"/>
      <w:bookmarkEnd w:id="31"/>
      <w:r>
        <w:rPr>
          <w:szCs w:val="24"/>
        </w:rPr>
        <w:t xml:space="preserve">In 2000, </w:t>
      </w:r>
      <w:r w:rsidR="000F760A">
        <w:rPr>
          <w:szCs w:val="24"/>
        </w:rPr>
        <w:t>DOJ argued to</w:t>
      </w:r>
      <w:r w:rsidR="008410DB">
        <w:rPr>
          <w:szCs w:val="24"/>
        </w:rPr>
        <w:t xml:space="preserve"> </w:t>
      </w:r>
      <w:r w:rsidRPr="0091393D">
        <w:rPr>
          <w:szCs w:val="24"/>
        </w:rPr>
        <w:t>the Fifth Circuit</w:t>
      </w:r>
      <w:r w:rsidR="000F760A">
        <w:rPr>
          <w:szCs w:val="24"/>
        </w:rPr>
        <w:t xml:space="preserve"> </w:t>
      </w:r>
      <w:r w:rsidRPr="0091393D">
        <w:rPr>
          <w:szCs w:val="24"/>
        </w:rPr>
        <w:t xml:space="preserve">that a business providing services solely over the </w:t>
      </w:r>
      <w:r>
        <w:rPr>
          <w:szCs w:val="24"/>
        </w:rPr>
        <w:t>i</w:t>
      </w:r>
      <w:r w:rsidRPr="0091393D">
        <w:rPr>
          <w:szCs w:val="24"/>
        </w:rPr>
        <w:t>nternet is subject to the ADA</w:t>
      </w:r>
      <w:r>
        <w:rPr>
          <w:szCs w:val="24"/>
        </w:rPr>
        <w:t>’</w:t>
      </w:r>
      <w:r w:rsidRPr="0091393D">
        <w:rPr>
          <w:szCs w:val="24"/>
        </w:rPr>
        <w:t>s prohibitions on discrimination on the basis of disability.</w:t>
      </w:r>
      <w:r>
        <w:rPr>
          <w:rStyle w:val="FootnoteReference"/>
          <w:szCs w:val="24"/>
        </w:rPr>
        <w:footnoteReference w:id="50"/>
      </w:r>
    </w:p>
    <w:p w14:paraId="61263B11" w14:textId="79FB1C5D" w:rsidR="00DB0BA4" w:rsidRDefault="00DB0BA4" w:rsidP="00E36B0E">
      <w:pPr>
        <w:pStyle w:val="ListParagraph"/>
        <w:numPr>
          <w:ilvl w:val="0"/>
          <w:numId w:val="1"/>
        </w:numPr>
        <w:tabs>
          <w:tab w:val="clear" w:pos="1440"/>
        </w:tabs>
        <w:spacing w:line="480" w:lineRule="auto"/>
        <w:ind w:left="0" w:firstLine="720"/>
        <w:jc w:val="both"/>
        <w:rPr>
          <w:szCs w:val="24"/>
        </w:rPr>
      </w:pPr>
      <w:bookmarkStart w:id="33" w:name="_Hlk38617483"/>
      <w:bookmarkEnd w:id="32"/>
      <w:r>
        <w:rPr>
          <w:szCs w:val="24"/>
        </w:rPr>
        <w:t xml:space="preserve">In 2002, </w:t>
      </w:r>
      <w:r w:rsidR="00021109">
        <w:rPr>
          <w:szCs w:val="24"/>
        </w:rPr>
        <w:t>DOJ argued to</w:t>
      </w:r>
      <w:r w:rsidR="008410DB">
        <w:rPr>
          <w:szCs w:val="24"/>
        </w:rPr>
        <w:t xml:space="preserve"> the </w:t>
      </w:r>
      <w:r>
        <w:rPr>
          <w:szCs w:val="24"/>
        </w:rPr>
        <w:t>Eleventh Circuit</w:t>
      </w:r>
      <w:r w:rsidR="00021109">
        <w:rPr>
          <w:szCs w:val="24"/>
        </w:rPr>
        <w:t xml:space="preserve"> that </w:t>
      </w:r>
      <w:r w:rsidRPr="007069C7">
        <w:rPr>
          <w:szCs w:val="24"/>
        </w:rPr>
        <w:t xml:space="preserve">there </w:t>
      </w:r>
      <w:r w:rsidR="00021109">
        <w:rPr>
          <w:szCs w:val="24"/>
        </w:rPr>
        <w:t xml:space="preserve">need not </w:t>
      </w:r>
      <w:r w:rsidRPr="007069C7">
        <w:rPr>
          <w:szCs w:val="24"/>
        </w:rPr>
        <w:t>be a nexus between a challenged activity and a private entity</w:t>
      </w:r>
      <w:r w:rsidR="00263E48">
        <w:rPr>
          <w:szCs w:val="24"/>
        </w:rPr>
        <w:t>’</w:t>
      </w:r>
      <w:r w:rsidRPr="007069C7">
        <w:rPr>
          <w:szCs w:val="24"/>
        </w:rPr>
        <w:t xml:space="preserve">s </w:t>
      </w:r>
      <w:r w:rsidR="00A4666E">
        <w:rPr>
          <w:szCs w:val="24"/>
        </w:rPr>
        <w:t>“</w:t>
      </w:r>
      <w:r w:rsidRPr="007069C7">
        <w:rPr>
          <w:szCs w:val="24"/>
        </w:rPr>
        <w:t>brick-and-mortar</w:t>
      </w:r>
      <w:r w:rsidR="00A4666E">
        <w:rPr>
          <w:szCs w:val="24"/>
        </w:rPr>
        <w:t>”</w:t>
      </w:r>
      <w:r w:rsidRPr="007069C7">
        <w:rPr>
          <w:szCs w:val="24"/>
        </w:rPr>
        <w:t xml:space="preserve"> facility to obtain coverage under </w:t>
      </w:r>
      <w:r>
        <w:rPr>
          <w:szCs w:val="24"/>
        </w:rPr>
        <w:lastRenderedPageBreak/>
        <w:t>T</w:t>
      </w:r>
      <w:r w:rsidRPr="007069C7">
        <w:rPr>
          <w:szCs w:val="24"/>
        </w:rPr>
        <w:t xml:space="preserve">itle III. </w:t>
      </w:r>
      <w:r>
        <w:rPr>
          <w:szCs w:val="24"/>
        </w:rPr>
        <w:t>DOJ</w:t>
      </w:r>
      <w:r w:rsidRPr="007069C7">
        <w:rPr>
          <w:szCs w:val="24"/>
        </w:rPr>
        <w:t xml:space="preserve"> argued that </w:t>
      </w:r>
      <w:r>
        <w:rPr>
          <w:szCs w:val="24"/>
        </w:rPr>
        <w:t>T</w:t>
      </w:r>
      <w:r w:rsidRPr="007069C7">
        <w:rPr>
          <w:szCs w:val="24"/>
        </w:rPr>
        <w:t>itle III applies to any activity or service offered by a public accommodation, on or off the premises.</w:t>
      </w:r>
      <w:r>
        <w:rPr>
          <w:rStyle w:val="FootnoteReference"/>
          <w:szCs w:val="24"/>
        </w:rPr>
        <w:footnoteReference w:id="51"/>
      </w:r>
      <w:bookmarkStart w:id="34" w:name="_Hlk36613699"/>
    </w:p>
    <w:p w14:paraId="12B4ED72" w14:textId="375665B1" w:rsidR="00DB0BA4" w:rsidRDefault="00DB0BA4" w:rsidP="00E36B0E">
      <w:pPr>
        <w:pStyle w:val="ListParagraph"/>
        <w:numPr>
          <w:ilvl w:val="0"/>
          <w:numId w:val="1"/>
        </w:numPr>
        <w:tabs>
          <w:tab w:val="clear" w:pos="1440"/>
        </w:tabs>
        <w:spacing w:line="480" w:lineRule="auto"/>
        <w:ind w:left="0" w:firstLine="720"/>
        <w:jc w:val="both"/>
        <w:rPr>
          <w:szCs w:val="24"/>
        </w:rPr>
      </w:pPr>
      <w:bookmarkStart w:id="35" w:name="_Hlk38617496"/>
      <w:bookmarkEnd w:id="33"/>
      <w:r>
        <w:rPr>
          <w:szCs w:val="24"/>
        </w:rPr>
        <w:t xml:space="preserve">In 2014, DOJ entered into a settlement agreement with America’s then-leading internet grocer to remedy allegations that its website, </w:t>
      </w:r>
      <w:hyperlink r:id="rId97" w:history="1">
        <w:r w:rsidR="00044CA1" w:rsidRPr="000554BA">
          <w:rPr>
            <w:rStyle w:val="Hyperlink"/>
            <w:szCs w:val="24"/>
          </w:rPr>
          <w:t>www.peapod.com</w:t>
        </w:r>
      </w:hyperlink>
      <w:r>
        <w:rPr>
          <w:szCs w:val="24"/>
        </w:rPr>
        <w:t>, is inaccessible to some individuals with disabilities, in violation of the ADA. DOJ’s enforcement action against this online-only business affirms the ADA covers public accommodations that do not operate brick-and-mortar facilities open to the public.</w:t>
      </w:r>
      <w:r>
        <w:rPr>
          <w:rStyle w:val="FootnoteReference"/>
          <w:szCs w:val="24"/>
        </w:rPr>
        <w:footnoteReference w:id="52"/>
      </w:r>
    </w:p>
    <w:bookmarkEnd w:id="35"/>
    <w:p w14:paraId="4205ED6E" w14:textId="77777777" w:rsidR="00DB0BA4" w:rsidRPr="00A26593" w:rsidRDefault="00DB0BA4" w:rsidP="00E36B0E">
      <w:pPr>
        <w:pStyle w:val="ListParagraph"/>
        <w:numPr>
          <w:ilvl w:val="0"/>
          <w:numId w:val="1"/>
        </w:numPr>
        <w:tabs>
          <w:tab w:val="clear" w:pos="1440"/>
        </w:tabs>
        <w:spacing w:line="480" w:lineRule="auto"/>
        <w:ind w:left="0" w:firstLine="720"/>
        <w:jc w:val="both"/>
        <w:rPr>
          <w:szCs w:val="24"/>
        </w:rPr>
      </w:pPr>
      <w:r w:rsidRPr="00A26593">
        <w:rPr>
          <w:szCs w:val="24"/>
        </w:rPr>
        <w:t>In a September 25, 2018 letter to U.S. House of Representative Ted Budd, U.S. Department of Justice Assistant Attorney General Stephen E. Boyd confirmed that public accommodations must make the websites they own, operate, or control equally accessible to individuals with disabilities. Assistant Attorney General Boyd’s letter provides:</w:t>
      </w:r>
    </w:p>
    <w:p w14:paraId="78726595" w14:textId="77777777" w:rsidR="00DB0BA4" w:rsidRPr="00A26593" w:rsidRDefault="00DB0BA4" w:rsidP="00E36B0E">
      <w:pPr>
        <w:spacing w:after="240" w:line="276" w:lineRule="auto"/>
        <w:ind w:left="720" w:right="720"/>
        <w:jc w:val="both"/>
        <w:rPr>
          <w:szCs w:val="24"/>
        </w:rPr>
      </w:pPr>
      <w:r w:rsidRPr="00A26593">
        <w:rPr>
          <w:szCs w:val="24"/>
        </w:rPr>
        <w:t>The Department [of Justice] first articulated its interpretation that the ADA applies to public accommodations’ websites over 20 years ago. This interpretation is consistent with the ADA’s title III requirement that the goods, services, privileges, or activities provided by places of public accommodation be equally accessible to people with disabilities</w:t>
      </w:r>
      <w:r>
        <w:rPr>
          <w:szCs w:val="24"/>
        </w:rPr>
        <w:t>.</w:t>
      </w:r>
      <w:r>
        <w:rPr>
          <w:rStyle w:val="FootnoteReference"/>
          <w:szCs w:val="24"/>
        </w:rPr>
        <w:footnoteReference w:id="53"/>
      </w:r>
    </w:p>
    <w:p w14:paraId="57AFF00D" w14:textId="37789501" w:rsidR="00DB0BA4" w:rsidRPr="00E67C1E" w:rsidRDefault="000F760A" w:rsidP="00E36B0E">
      <w:pPr>
        <w:pStyle w:val="ListParagraph"/>
        <w:numPr>
          <w:ilvl w:val="0"/>
          <w:numId w:val="1"/>
        </w:numPr>
        <w:tabs>
          <w:tab w:val="clear" w:pos="1440"/>
        </w:tabs>
        <w:spacing w:line="480" w:lineRule="auto"/>
        <w:ind w:left="0" w:firstLine="720"/>
        <w:jc w:val="both"/>
        <w:rPr>
          <w:szCs w:val="24"/>
        </w:rPr>
      </w:pPr>
      <w:bookmarkStart w:id="37" w:name="_Hlk38617512"/>
      <w:r>
        <w:t>In 2019</w:t>
      </w:r>
      <w:r w:rsidR="00DB0BA4" w:rsidRPr="006130A7">
        <w:t xml:space="preserve">, the United States Supreme Court declined to review a Ninth Circuit decision holding that (1) </w:t>
      </w:r>
      <w:r w:rsidR="00DB0BA4" w:rsidRPr="006130A7">
        <w:rPr>
          <w:szCs w:val="24"/>
        </w:rPr>
        <w:t xml:space="preserve">Title III of the Americans with Disabilities Act, </w:t>
      </w:r>
      <w:r w:rsidR="00DB0BA4" w:rsidRPr="006130A7">
        <w:t xml:space="preserve">42 U.S.C. § 12101 </w:t>
      </w:r>
      <w:r w:rsidR="00DB0BA4" w:rsidRPr="006130A7">
        <w:rPr>
          <w:i/>
        </w:rPr>
        <w:t>et seq.</w:t>
      </w:r>
      <w:r w:rsidR="00DB0BA4" w:rsidRPr="006130A7">
        <w:rPr>
          <w:szCs w:val="24"/>
        </w:rPr>
        <w:t xml:space="preserve"> (“Title III”) covers websites and mobile applications </w:t>
      </w:r>
      <w:r>
        <w:rPr>
          <w:szCs w:val="24"/>
        </w:rPr>
        <w:t xml:space="preserve">and </w:t>
      </w:r>
      <w:r w:rsidR="00DB0BA4" w:rsidRPr="006130A7">
        <w:rPr>
          <w:szCs w:val="24"/>
        </w:rPr>
        <w:t xml:space="preserve">(2) the imposition of </w:t>
      </w:r>
      <w:r w:rsidR="00DB0BA4" w:rsidRPr="006130A7">
        <w:t xml:space="preserve">liability on </w:t>
      </w:r>
      <w:r w:rsidR="00DB0BA4" w:rsidRPr="006130A7">
        <w:lastRenderedPageBreak/>
        <w:t>businesses for not having an accessible website and mobile application does not violate the due process rights of public accommodations.</w:t>
      </w:r>
      <w:r w:rsidR="00021109">
        <w:rPr>
          <w:rStyle w:val="FootnoteReference"/>
        </w:rPr>
        <w:footnoteReference w:id="54"/>
      </w:r>
      <w:bookmarkEnd w:id="34"/>
    </w:p>
    <w:p w14:paraId="27F92AB8" w14:textId="0CA10C52" w:rsidR="00E67C1E" w:rsidRPr="006130A7" w:rsidRDefault="00051F73" w:rsidP="00E36B0E">
      <w:pPr>
        <w:pStyle w:val="ListParagraph"/>
        <w:numPr>
          <w:ilvl w:val="0"/>
          <w:numId w:val="1"/>
        </w:numPr>
        <w:tabs>
          <w:tab w:val="clear" w:pos="1440"/>
        </w:tabs>
        <w:spacing w:line="480" w:lineRule="auto"/>
        <w:ind w:left="0" w:firstLine="720"/>
        <w:jc w:val="both"/>
        <w:rPr>
          <w:szCs w:val="24"/>
        </w:rPr>
      </w:pPr>
      <w:r>
        <w:t>On March 18, 2022</w:t>
      </w:r>
      <w:r w:rsidR="00E67C1E">
        <w:t>,</w:t>
      </w:r>
      <w:r>
        <w:t xml:space="preserve"> DOJ published guidance on digital accessibility and confirmed it “</w:t>
      </w:r>
      <w:r w:rsidRPr="00051F73">
        <w:t>has consistently taken the position that the ADA’s requirements apply to all the services, programs, or activities of state and local governments, including those offered on the web.</w:t>
      </w:r>
      <w:r>
        <w:t>”</w:t>
      </w:r>
      <w:r>
        <w:rPr>
          <w:rStyle w:val="FootnoteReference"/>
        </w:rPr>
        <w:footnoteReference w:id="55"/>
      </w:r>
    </w:p>
    <w:p w14:paraId="6E6875AE" w14:textId="0FAB7A39" w:rsidR="00DB0BA4" w:rsidRDefault="00DB0BA4" w:rsidP="00E36B0E">
      <w:pPr>
        <w:numPr>
          <w:ilvl w:val="0"/>
          <w:numId w:val="1"/>
        </w:numPr>
        <w:tabs>
          <w:tab w:val="clear" w:pos="1440"/>
        </w:tabs>
        <w:spacing w:line="480" w:lineRule="auto"/>
        <w:ind w:left="0" w:firstLine="720"/>
        <w:jc w:val="both"/>
        <w:rPr>
          <w:szCs w:val="24"/>
        </w:rPr>
      </w:pPr>
      <w:bookmarkStart w:id="38" w:name="_Hlk38617561"/>
      <w:bookmarkEnd w:id="37"/>
      <w:r w:rsidRPr="00F5014A">
        <w:rPr>
          <w:szCs w:val="24"/>
        </w:rPr>
        <w:t xml:space="preserve">Thus, </w:t>
      </w:r>
      <w:r w:rsidR="000F760A">
        <w:rPr>
          <w:szCs w:val="24"/>
        </w:rPr>
        <w:t xml:space="preserve">since </w:t>
      </w:r>
      <w:r w:rsidRPr="00F5014A">
        <w:rPr>
          <w:szCs w:val="24"/>
        </w:rPr>
        <w:t xml:space="preserve">at least since 1996, </w:t>
      </w:r>
      <w:r>
        <w:rPr>
          <w:szCs w:val="24"/>
        </w:rPr>
        <w:t>Defendant</w:t>
      </w:r>
      <w:r w:rsidRPr="00F5014A">
        <w:rPr>
          <w:szCs w:val="24"/>
        </w:rPr>
        <w:t xml:space="preserve"> has been on notice that its online offerings must effectively communicate with disabled </w:t>
      </w:r>
      <w:r w:rsidR="000F760A">
        <w:rPr>
          <w:szCs w:val="24"/>
        </w:rPr>
        <w:t>consumers</w:t>
      </w:r>
      <w:r w:rsidRPr="00F5014A">
        <w:rPr>
          <w:szCs w:val="24"/>
        </w:rPr>
        <w:t xml:space="preserve"> and facilitate </w:t>
      </w:r>
      <w:r w:rsidR="00A4666E">
        <w:rPr>
          <w:szCs w:val="24"/>
        </w:rPr>
        <w:t>“</w:t>
      </w:r>
      <w:r w:rsidRPr="00F5014A">
        <w:rPr>
          <w:szCs w:val="24"/>
        </w:rPr>
        <w:t>full and equal enjoyment</w:t>
      </w:r>
      <w:r w:rsidR="00A4666E">
        <w:rPr>
          <w:szCs w:val="24"/>
        </w:rPr>
        <w:t>”</w:t>
      </w:r>
      <w:r w:rsidRPr="00F5014A">
        <w:rPr>
          <w:szCs w:val="24"/>
        </w:rPr>
        <w:t xml:space="preserve"> of </w:t>
      </w:r>
      <w:r>
        <w:rPr>
          <w:szCs w:val="24"/>
        </w:rPr>
        <w:t>the</w:t>
      </w:r>
      <w:r w:rsidRPr="00F5014A">
        <w:rPr>
          <w:szCs w:val="24"/>
        </w:rPr>
        <w:t xml:space="preserve"> </w:t>
      </w:r>
      <w:r w:rsidR="002C7989">
        <w:rPr>
          <w:szCs w:val="24"/>
        </w:rPr>
        <w:t>products</w:t>
      </w:r>
      <w:r w:rsidRPr="00F5014A">
        <w:rPr>
          <w:szCs w:val="24"/>
        </w:rPr>
        <w:t xml:space="preserve"> and services</w:t>
      </w:r>
      <w:r>
        <w:rPr>
          <w:szCs w:val="24"/>
        </w:rPr>
        <w:t xml:space="preserve"> it offers</w:t>
      </w:r>
      <w:r w:rsidRPr="00F5014A">
        <w:rPr>
          <w:szCs w:val="24"/>
        </w:rPr>
        <w:t>.</w:t>
      </w:r>
      <w:bookmarkEnd w:id="29"/>
      <w:r w:rsidR="00021109">
        <w:rPr>
          <w:rStyle w:val="FootnoteReference"/>
          <w:szCs w:val="24"/>
        </w:rPr>
        <w:footnoteReference w:id="56"/>
      </w:r>
    </w:p>
    <w:p w14:paraId="407CA47D" w14:textId="0BAA1DC4" w:rsidR="008D6ED1" w:rsidRPr="008D6ED1" w:rsidRDefault="008D6ED1" w:rsidP="008D6ED1">
      <w:pPr>
        <w:spacing w:line="480" w:lineRule="auto"/>
        <w:jc w:val="center"/>
        <w:rPr>
          <w:b/>
          <w:bCs/>
          <w:szCs w:val="24"/>
          <w:u w:val="single"/>
        </w:rPr>
      </w:pPr>
      <w:r>
        <w:rPr>
          <w:b/>
          <w:bCs/>
          <w:szCs w:val="24"/>
          <w:u w:val="single"/>
        </w:rPr>
        <w:t>CLASS ALLEGATIONS</w:t>
      </w:r>
    </w:p>
    <w:p w14:paraId="1A91C81C" w14:textId="3A27B5E9" w:rsidR="008D6ED1" w:rsidRPr="008D6ED1" w:rsidRDefault="008D6ED1" w:rsidP="00E36B0E">
      <w:pPr>
        <w:numPr>
          <w:ilvl w:val="0"/>
          <w:numId w:val="1"/>
        </w:numPr>
        <w:tabs>
          <w:tab w:val="clear" w:pos="1440"/>
        </w:tabs>
        <w:spacing w:line="480" w:lineRule="auto"/>
        <w:ind w:left="0" w:firstLine="720"/>
        <w:jc w:val="both"/>
        <w:rPr>
          <w:szCs w:val="24"/>
        </w:rPr>
      </w:pPr>
      <w:r>
        <w:rPr>
          <w:szCs w:val="24"/>
        </w:rPr>
        <w:t xml:space="preserve"> Douglass</w:t>
      </w:r>
      <w:r w:rsidRPr="008D6ED1">
        <w:rPr>
          <w:szCs w:val="24"/>
        </w:rPr>
        <w:t xml:space="preserve"> bring</w:t>
      </w:r>
      <w:r>
        <w:rPr>
          <w:szCs w:val="24"/>
        </w:rPr>
        <w:t>s</w:t>
      </w:r>
      <w:r w:rsidRPr="008D6ED1">
        <w:rPr>
          <w:szCs w:val="24"/>
        </w:rPr>
        <w:t xml:space="preserve"> this class action pursuant to Fed. R. Civ. P. 23(a) and 23(b)(2) on behalf of </w:t>
      </w:r>
      <w:r>
        <w:rPr>
          <w:szCs w:val="24"/>
        </w:rPr>
        <w:t>himself</w:t>
      </w:r>
      <w:r w:rsidRPr="008D6ED1">
        <w:rPr>
          <w:szCs w:val="24"/>
        </w:rPr>
        <w:t xml:space="preserve"> and the following nationwide class: all blind or visually disabled individuals who use screen reader auxiliary aids to navigate digital content and who have accessed, attempted to access, or been deterred from attempting to access, or who </w:t>
      </w:r>
      <w:r w:rsidR="009F4EBD">
        <w:rPr>
          <w:szCs w:val="24"/>
        </w:rPr>
        <w:t>may</w:t>
      </w:r>
      <w:r w:rsidRPr="008D6ED1">
        <w:rPr>
          <w:szCs w:val="24"/>
        </w:rPr>
        <w:t xml:space="preserve"> access, attempt to access, or be deterred from accessing the </w:t>
      </w:r>
      <w:r>
        <w:rPr>
          <w:szCs w:val="24"/>
        </w:rPr>
        <w:t>Digital Platform</w:t>
      </w:r>
      <w:r w:rsidRPr="008D6ED1">
        <w:rPr>
          <w:szCs w:val="24"/>
        </w:rPr>
        <w:t xml:space="preserve"> from the United States.</w:t>
      </w:r>
    </w:p>
    <w:p w14:paraId="65B6A061" w14:textId="77777777" w:rsidR="008D6ED1" w:rsidRDefault="008D6ED1" w:rsidP="00E36B0E">
      <w:pPr>
        <w:numPr>
          <w:ilvl w:val="0"/>
          <w:numId w:val="1"/>
        </w:numPr>
        <w:tabs>
          <w:tab w:val="clear" w:pos="1440"/>
        </w:tabs>
        <w:spacing w:line="480" w:lineRule="auto"/>
        <w:ind w:left="0" w:firstLine="720"/>
        <w:jc w:val="both"/>
        <w:rPr>
          <w:szCs w:val="24"/>
        </w:rPr>
      </w:pPr>
      <w:r w:rsidRPr="00A923A1">
        <w:rPr>
          <w:szCs w:val="24"/>
          <w:u w:val="single"/>
        </w:rPr>
        <w:t>Numerosity</w:t>
      </w:r>
      <w:r w:rsidRPr="00A923A1">
        <w:rPr>
          <w:szCs w:val="24"/>
        </w:rPr>
        <w:t>: The class described above is so numerous that joinder of all individual members in one action would be impracticable. The disposition of the individual claims of the respective class members through this class action will benefit both the parties and this Court, and will facilitate judicial economy.</w:t>
      </w:r>
    </w:p>
    <w:p w14:paraId="2A338AA6" w14:textId="4AA4501B" w:rsidR="008D6ED1" w:rsidRDefault="008D6ED1" w:rsidP="00E36B0E">
      <w:pPr>
        <w:numPr>
          <w:ilvl w:val="0"/>
          <w:numId w:val="1"/>
        </w:numPr>
        <w:tabs>
          <w:tab w:val="clear" w:pos="1440"/>
        </w:tabs>
        <w:spacing w:line="480" w:lineRule="auto"/>
        <w:ind w:left="0" w:firstLine="720"/>
        <w:jc w:val="both"/>
        <w:rPr>
          <w:szCs w:val="24"/>
        </w:rPr>
      </w:pPr>
      <w:r w:rsidRPr="00A923A1">
        <w:rPr>
          <w:szCs w:val="24"/>
          <w:u w:val="single"/>
        </w:rPr>
        <w:lastRenderedPageBreak/>
        <w:t>Typicality</w:t>
      </w:r>
      <w:r w:rsidRPr="00A923A1">
        <w:rPr>
          <w:szCs w:val="24"/>
        </w:rPr>
        <w:t>: Plaintiff</w:t>
      </w:r>
      <w:r>
        <w:rPr>
          <w:szCs w:val="24"/>
        </w:rPr>
        <w:t>’s</w:t>
      </w:r>
      <w:r w:rsidRPr="00A923A1">
        <w:rPr>
          <w:szCs w:val="24"/>
        </w:rPr>
        <w:t xml:space="preserve"> claims are typical of the claims of the members of the class. The claims of Plaintiff and members of the class are based on the same legal theories and arise from the same unlawful conduct.</w:t>
      </w:r>
    </w:p>
    <w:p w14:paraId="165ABAE1" w14:textId="0FCB78AF" w:rsidR="008D6ED1" w:rsidRDefault="008D6ED1" w:rsidP="00E36B0E">
      <w:pPr>
        <w:numPr>
          <w:ilvl w:val="0"/>
          <w:numId w:val="1"/>
        </w:numPr>
        <w:tabs>
          <w:tab w:val="clear" w:pos="1440"/>
        </w:tabs>
        <w:spacing w:line="480" w:lineRule="auto"/>
        <w:ind w:left="0" w:firstLine="720"/>
        <w:jc w:val="both"/>
        <w:rPr>
          <w:szCs w:val="24"/>
        </w:rPr>
      </w:pPr>
      <w:r w:rsidRPr="00A923A1">
        <w:rPr>
          <w:szCs w:val="24"/>
          <w:u w:val="single"/>
        </w:rPr>
        <w:t>Common Questions of Fact and Law</w:t>
      </w:r>
      <w:r w:rsidRPr="00A923A1">
        <w:rPr>
          <w:szCs w:val="24"/>
        </w:rPr>
        <w:t xml:space="preserve">: There is a well-defined community of interest and common questions of fact and law affecting members of the class in that they all have been, are being, and/or will be denied their civil rights to full and equal access, and use and enjoyment of Defendant’s </w:t>
      </w:r>
      <w:r>
        <w:rPr>
          <w:szCs w:val="24"/>
        </w:rPr>
        <w:t>Digital Platform</w:t>
      </w:r>
      <w:r w:rsidRPr="00A923A1">
        <w:rPr>
          <w:szCs w:val="24"/>
        </w:rPr>
        <w:t xml:space="preserve"> and/or services due to Defendant’s failure to make the </w:t>
      </w:r>
      <w:r>
        <w:rPr>
          <w:szCs w:val="24"/>
        </w:rPr>
        <w:t>Digital Platform</w:t>
      </w:r>
      <w:r w:rsidRPr="00A923A1">
        <w:rPr>
          <w:szCs w:val="24"/>
        </w:rPr>
        <w:t xml:space="preserve"> full</w:t>
      </w:r>
      <w:r>
        <w:rPr>
          <w:szCs w:val="24"/>
        </w:rPr>
        <w:t>y</w:t>
      </w:r>
      <w:r w:rsidRPr="00A923A1">
        <w:rPr>
          <w:szCs w:val="24"/>
        </w:rPr>
        <w:t xml:space="preserve"> accessible and independently usable as described herein.</w:t>
      </w:r>
    </w:p>
    <w:p w14:paraId="31C00289" w14:textId="2612E701" w:rsidR="008D6ED1" w:rsidRDefault="008D6ED1" w:rsidP="00E36B0E">
      <w:pPr>
        <w:numPr>
          <w:ilvl w:val="0"/>
          <w:numId w:val="1"/>
        </w:numPr>
        <w:tabs>
          <w:tab w:val="clear" w:pos="1440"/>
        </w:tabs>
        <w:spacing w:line="480" w:lineRule="auto"/>
        <w:ind w:left="0" w:firstLine="720"/>
        <w:jc w:val="both"/>
        <w:rPr>
          <w:szCs w:val="24"/>
        </w:rPr>
      </w:pPr>
      <w:r w:rsidRPr="00A923A1">
        <w:rPr>
          <w:szCs w:val="24"/>
          <w:u w:val="single"/>
        </w:rPr>
        <w:t>Adequacy of Representation</w:t>
      </w:r>
      <w:r w:rsidRPr="00A923A1">
        <w:rPr>
          <w:szCs w:val="24"/>
        </w:rPr>
        <w:t>: Plaintiff</w:t>
      </w:r>
      <w:r>
        <w:rPr>
          <w:szCs w:val="24"/>
        </w:rPr>
        <w:t xml:space="preserve"> is an </w:t>
      </w:r>
      <w:r w:rsidRPr="00A923A1">
        <w:rPr>
          <w:szCs w:val="24"/>
        </w:rPr>
        <w:t xml:space="preserve">adequate representative of the class because </w:t>
      </w:r>
      <w:r>
        <w:rPr>
          <w:szCs w:val="24"/>
        </w:rPr>
        <w:t>his</w:t>
      </w:r>
      <w:r w:rsidRPr="00A923A1">
        <w:rPr>
          <w:szCs w:val="24"/>
        </w:rPr>
        <w:t xml:space="preserve"> interests do not conflict with the interests of the members of the class. Plaintiff will fairly, adequately, and vigorously represent and protect the interests of the members of the class, and </w:t>
      </w:r>
      <w:r>
        <w:rPr>
          <w:szCs w:val="24"/>
        </w:rPr>
        <w:t>he</w:t>
      </w:r>
      <w:r w:rsidRPr="00A923A1">
        <w:rPr>
          <w:szCs w:val="24"/>
        </w:rPr>
        <w:t xml:space="preserve"> ha</w:t>
      </w:r>
      <w:r>
        <w:rPr>
          <w:szCs w:val="24"/>
        </w:rPr>
        <w:t>s</w:t>
      </w:r>
      <w:r w:rsidRPr="00A923A1">
        <w:rPr>
          <w:szCs w:val="24"/>
        </w:rPr>
        <w:t xml:space="preserve"> no interests antagonistic to the members of the class. Plaintiff</w:t>
      </w:r>
      <w:r>
        <w:rPr>
          <w:szCs w:val="24"/>
        </w:rPr>
        <w:t xml:space="preserve"> has </w:t>
      </w:r>
      <w:r w:rsidRPr="00A923A1">
        <w:rPr>
          <w:szCs w:val="24"/>
        </w:rPr>
        <w:t>retained counsel who are competent and experienced in the prosecution of class action litigation, generally, and who possess specific expertise in the context of ADA litigation.</w:t>
      </w:r>
    </w:p>
    <w:p w14:paraId="0AB9D955" w14:textId="5505149B" w:rsidR="008D6ED1" w:rsidRPr="008D6ED1" w:rsidRDefault="008D6ED1" w:rsidP="00E36B0E">
      <w:pPr>
        <w:numPr>
          <w:ilvl w:val="0"/>
          <w:numId w:val="1"/>
        </w:numPr>
        <w:tabs>
          <w:tab w:val="clear" w:pos="1440"/>
        </w:tabs>
        <w:spacing w:line="480" w:lineRule="auto"/>
        <w:ind w:left="0" w:firstLine="720"/>
        <w:jc w:val="both"/>
        <w:rPr>
          <w:szCs w:val="24"/>
        </w:rPr>
      </w:pPr>
      <w:r w:rsidRPr="00A923A1">
        <w:rPr>
          <w:szCs w:val="24"/>
        </w:rPr>
        <w:t>Class certification is appropriate under Fed. R. Civ. P. 23(b)(2) because Defendant has acted or refused to act on grounds generally applicable to the class, making appropriate both declaratory and injunctive relief with respect to Plaintiffs and the class as a whole</w:t>
      </w:r>
      <w:r>
        <w:rPr>
          <w:szCs w:val="24"/>
        </w:rPr>
        <w:t>.</w:t>
      </w:r>
    </w:p>
    <w:bookmarkEnd w:id="38"/>
    <w:p w14:paraId="36ACD39D" w14:textId="379860E7" w:rsidR="00DB0BA4" w:rsidRPr="00B60FCC" w:rsidRDefault="009F4EBD" w:rsidP="00B60FCC">
      <w:pPr>
        <w:spacing w:line="480" w:lineRule="auto"/>
        <w:ind w:left="720"/>
        <w:jc w:val="center"/>
        <w:rPr>
          <w:u w:val="single"/>
        </w:rPr>
      </w:pPr>
      <w:r>
        <w:rPr>
          <w:b/>
          <w:u w:val="single"/>
        </w:rPr>
        <w:t>FIRST CLAIM FOR RELIEF</w:t>
      </w:r>
    </w:p>
    <w:p w14:paraId="570E608A" w14:textId="7835BAFD" w:rsidR="00DB0BA4" w:rsidRPr="00B60FCC" w:rsidRDefault="00DB0BA4" w:rsidP="00B60FCC">
      <w:pPr>
        <w:spacing w:line="480" w:lineRule="auto"/>
        <w:ind w:left="720"/>
        <w:jc w:val="center"/>
      </w:pPr>
      <w:r w:rsidRPr="00B60FCC">
        <w:rPr>
          <w:b/>
        </w:rPr>
        <w:t xml:space="preserve">Title III of the ADA, </w:t>
      </w:r>
      <w:bookmarkStart w:id="39" w:name="dabmci_e04cb7a646ea4c1da09e830803eff12c"/>
      <w:r w:rsidRPr="00B60FCC">
        <w:rPr>
          <w:b/>
        </w:rPr>
        <w:t>42 U.S.C. § 12181</w:t>
      </w:r>
      <w:bookmarkEnd w:id="39"/>
      <w:r w:rsidRPr="00B60FCC">
        <w:rPr>
          <w:b/>
        </w:rPr>
        <w:t xml:space="preserve"> </w:t>
      </w:r>
      <w:r w:rsidRPr="00B60FCC">
        <w:rPr>
          <w:b/>
          <w:i/>
        </w:rPr>
        <w:t>et seq</w:t>
      </w:r>
      <w:r w:rsidRPr="00B60FCC">
        <w:rPr>
          <w:b/>
        </w:rPr>
        <w:t>.</w:t>
      </w:r>
      <w:r w:rsidRPr="00B60FCC">
        <w:rPr>
          <w:szCs w:val="24"/>
        </w:rPr>
        <w:t xml:space="preserve"> </w:t>
      </w:r>
    </w:p>
    <w:p w14:paraId="7ED212C7" w14:textId="77777777" w:rsidR="00B60FCC" w:rsidRPr="000B2B89" w:rsidRDefault="00B60FCC" w:rsidP="00E36B0E">
      <w:pPr>
        <w:pStyle w:val="ListParagraph"/>
        <w:numPr>
          <w:ilvl w:val="0"/>
          <w:numId w:val="1"/>
        </w:numPr>
        <w:spacing w:line="480" w:lineRule="auto"/>
        <w:jc w:val="both"/>
        <w:rPr>
          <w:szCs w:val="24"/>
        </w:rPr>
      </w:pPr>
      <w:r>
        <w:t>The assertions contained in the previous paragraphs are incorporated by reference</w:t>
      </w:r>
      <w:r>
        <w:rPr>
          <w:szCs w:val="24"/>
        </w:rPr>
        <w:t>.</w:t>
      </w:r>
    </w:p>
    <w:p w14:paraId="5C274E8F" w14:textId="7A0E1363" w:rsidR="00B60FCC" w:rsidRDefault="00B60FCC" w:rsidP="00E36B0E">
      <w:pPr>
        <w:pStyle w:val="ListParagraph"/>
        <w:numPr>
          <w:ilvl w:val="0"/>
          <w:numId w:val="1"/>
        </w:numPr>
        <w:tabs>
          <w:tab w:val="clear" w:pos="1440"/>
        </w:tabs>
        <w:spacing w:line="480" w:lineRule="auto"/>
        <w:ind w:left="0" w:firstLine="720"/>
        <w:jc w:val="both"/>
        <w:rPr>
          <w:szCs w:val="24"/>
        </w:rPr>
      </w:pPr>
      <w:bookmarkStart w:id="40" w:name="_Hlk38619102"/>
      <w:r w:rsidRPr="000B2B89">
        <w:rPr>
          <w:szCs w:val="24"/>
        </w:rPr>
        <w:lastRenderedPageBreak/>
        <w:t xml:space="preserve">Title III of the ADA guarantees that individuals with disabilities shall have full and equal enjoyment of the </w:t>
      </w:r>
      <w:r w:rsidR="002C7989">
        <w:rPr>
          <w:szCs w:val="24"/>
        </w:rPr>
        <w:t>products</w:t>
      </w:r>
      <w:r w:rsidRPr="000B2B89">
        <w:rPr>
          <w:szCs w:val="24"/>
        </w:rPr>
        <w:t>, services, facilities, privileges, advantages, or accommodations of any place of public accommodation.</w:t>
      </w:r>
      <w:r w:rsidR="002C3668">
        <w:rPr>
          <w:rStyle w:val="FootnoteReference"/>
          <w:szCs w:val="24"/>
        </w:rPr>
        <w:footnoteReference w:id="57"/>
      </w:r>
    </w:p>
    <w:p w14:paraId="6AFD9DF0" w14:textId="0F7D9CE7" w:rsidR="00B60FCC" w:rsidRDefault="00B60FCC" w:rsidP="00E36B0E">
      <w:pPr>
        <w:pStyle w:val="ListParagraph"/>
        <w:numPr>
          <w:ilvl w:val="0"/>
          <w:numId w:val="1"/>
        </w:numPr>
        <w:tabs>
          <w:tab w:val="clear" w:pos="1440"/>
        </w:tabs>
        <w:spacing w:line="480" w:lineRule="auto"/>
        <w:ind w:left="0" w:firstLine="720"/>
        <w:jc w:val="both"/>
        <w:rPr>
          <w:szCs w:val="24"/>
        </w:rPr>
      </w:pPr>
      <w:bookmarkStart w:id="41" w:name="_Hlk38619110"/>
      <w:bookmarkEnd w:id="40"/>
      <w:r w:rsidRPr="000B2B89">
        <w:rPr>
          <w:szCs w:val="24"/>
        </w:rPr>
        <w:t>Defendant</w:t>
      </w:r>
      <w:r>
        <w:rPr>
          <w:szCs w:val="24"/>
        </w:rPr>
        <w:t xml:space="preserve"> is </w:t>
      </w:r>
      <w:r w:rsidRPr="000B2B89">
        <w:rPr>
          <w:szCs w:val="24"/>
        </w:rPr>
        <w:t>bound by the regulations implementing Title III of the ADA, which require that places of public accommodation ensure effective communication to individuals with disabilities.</w:t>
      </w:r>
      <w:r w:rsidR="002C3668">
        <w:rPr>
          <w:rStyle w:val="FootnoteReference"/>
          <w:szCs w:val="24"/>
        </w:rPr>
        <w:footnoteReference w:id="58"/>
      </w:r>
    </w:p>
    <w:bookmarkEnd w:id="41"/>
    <w:p w14:paraId="1EA0DFCC" w14:textId="154F670D" w:rsidR="00B60FCC" w:rsidRDefault="00D818A2" w:rsidP="00E36B0E">
      <w:pPr>
        <w:pStyle w:val="ListParagraph"/>
        <w:numPr>
          <w:ilvl w:val="0"/>
          <w:numId w:val="1"/>
        </w:numPr>
        <w:tabs>
          <w:tab w:val="clear" w:pos="1440"/>
        </w:tabs>
        <w:spacing w:line="480" w:lineRule="auto"/>
        <w:ind w:left="0" w:firstLine="720"/>
        <w:jc w:val="both"/>
        <w:rPr>
          <w:szCs w:val="24"/>
        </w:rPr>
      </w:pPr>
      <w:r>
        <w:rPr>
          <w:szCs w:val="24"/>
        </w:rPr>
        <w:t>Douglass</w:t>
      </w:r>
      <w:r w:rsidR="00B60FCC">
        <w:rPr>
          <w:szCs w:val="24"/>
        </w:rPr>
        <w:t xml:space="preserve"> is </w:t>
      </w:r>
      <w:r w:rsidR="00B60FCC" w:rsidRPr="000B2B89">
        <w:rPr>
          <w:szCs w:val="24"/>
        </w:rPr>
        <w:t xml:space="preserve">legally blind and therefore </w:t>
      </w:r>
      <w:r w:rsidR="00B60FCC">
        <w:rPr>
          <w:szCs w:val="24"/>
        </w:rPr>
        <w:t xml:space="preserve">an </w:t>
      </w:r>
      <w:r w:rsidR="00B60FCC" w:rsidRPr="000B2B89">
        <w:rPr>
          <w:szCs w:val="24"/>
        </w:rPr>
        <w:t>individual with a disability under the ADA.</w:t>
      </w:r>
    </w:p>
    <w:p w14:paraId="1CB66642" w14:textId="50B3FDAE" w:rsidR="00B60FCC" w:rsidRDefault="00B60FCC" w:rsidP="00E36B0E">
      <w:pPr>
        <w:pStyle w:val="ListParagraph"/>
        <w:numPr>
          <w:ilvl w:val="0"/>
          <w:numId w:val="1"/>
        </w:numPr>
        <w:tabs>
          <w:tab w:val="clear" w:pos="1440"/>
        </w:tabs>
        <w:spacing w:line="480" w:lineRule="auto"/>
        <w:ind w:left="0" w:firstLine="720"/>
        <w:jc w:val="both"/>
        <w:rPr>
          <w:szCs w:val="24"/>
        </w:rPr>
      </w:pPr>
      <w:bookmarkStart w:id="42" w:name="_Hlk38619119"/>
      <w:r>
        <w:rPr>
          <w:szCs w:val="24"/>
        </w:rPr>
        <w:t>Defendant is a</w:t>
      </w:r>
      <w:r w:rsidRPr="000B2B89">
        <w:rPr>
          <w:szCs w:val="24"/>
        </w:rPr>
        <w:t xml:space="preserve"> place of public accommodation under the ADA because </w:t>
      </w:r>
      <w:r>
        <w:rPr>
          <w:szCs w:val="24"/>
        </w:rPr>
        <w:t>it is a</w:t>
      </w:r>
      <w:r w:rsidRPr="000B2B89">
        <w:rPr>
          <w:szCs w:val="24"/>
        </w:rPr>
        <w:t xml:space="preserve"> “sales or rental establishment” and/or “other service establishment.”</w:t>
      </w:r>
      <w:r w:rsidR="002C3668">
        <w:rPr>
          <w:rStyle w:val="FootnoteReference"/>
          <w:szCs w:val="24"/>
        </w:rPr>
        <w:footnoteReference w:id="59"/>
      </w:r>
    </w:p>
    <w:bookmarkEnd w:id="42"/>
    <w:p w14:paraId="1C7DC0F4" w14:textId="77777777" w:rsidR="00B60FCC" w:rsidRDefault="00B60FCC" w:rsidP="00E36B0E">
      <w:pPr>
        <w:pStyle w:val="ListParagraph"/>
        <w:numPr>
          <w:ilvl w:val="0"/>
          <w:numId w:val="1"/>
        </w:numPr>
        <w:tabs>
          <w:tab w:val="clear" w:pos="1440"/>
        </w:tabs>
        <w:spacing w:line="480" w:lineRule="auto"/>
        <w:ind w:left="0" w:firstLine="720"/>
        <w:jc w:val="both"/>
        <w:rPr>
          <w:szCs w:val="24"/>
        </w:rPr>
      </w:pPr>
      <w:r w:rsidRPr="000B2B89">
        <w:rPr>
          <w:szCs w:val="24"/>
        </w:rPr>
        <w:t xml:space="preserve">Defendant owns, operates, or maintains the </w:t>
      </w:r>
      <w:r>
        <w:rPr>
          <w:szCs w:val="24"/>
        </w:rPr>
        <w:t>Digital Platform</w:t>
      </w:r>
      <w:r w:rsidRPr="000B2B89">
        <w:rPr>
          <w:szCs w:val="24"/>
        </w:rPr>
        <w:t xml:space="preserve">. </w:t>
      </w:r>
    </w:p>
    <w:p w14:paraId="1F60155A" w14:textId="77777777" w:rsidR="00B60FCC" w:rsidRDefault="00B60FCC" w:rsidP="00E36B0E">
      <w:pPr>
        <w:pStyle w:val="ListParagraph"/>
        <w:numPr>
          <w:ilvl w:val="0"/>
          <w:numId w:val="1"/>
        </w:numPr>
        <w:tabs>
          <w:tab w:val="clear" w:pos="1440"/>
        </w:tabs>
        <w:spacing w:line="480" w:lineRule="auto"/>
        <w:ind w:left="0" w:firstLine="720"/>
        <w:jc w:val="both"/>
        <w:rPr>
          <w:szCs w:val="24"/>
        </w:rPr>
      </w:pPr>
      <w:r w:rsidRPr="000B2B89">
        <w:rPr>
          <w:szCs w:val="24"/>
        </w:rPr>
        <w:t xml:space="preserve">The </w:t>
      </w:r>
      <w:r>
        <w:rPr>
          <w:szCs w:val="24"/>
        </w:rPr>
        <w:t xml:space="preserve">Digital Platform </w:t>
      </w:r>
      <w:r w:rsidRPr="000B2B89">
        <w:rPr>
          <w:szCs w:val="24"/>
        </w:rPr>
        <w:t xml:space="preserve">is a service, facility, privilege, advantage, or accommodation of </w:t>
      </w:r>
      <w:r>
        <w:rPr>
          <w:szCs w:val="24"/>
        </w:rPr>
        <w:t>Defendant</w:t>
      </w:r>
      <w:r w:rsidRPr="000B2B89">
        <w:rPr>
          <w:szCs w:val="24"/>
        </w:rPr>
        <w:t>.</w:t>
      </w:r>
    </w:p>
    <w:p w14:paraId="441FE6D3" w14:textId="5BF476BB" w:rsidR="00B60FCC" w:rsidRDefault="00B60FCC" w:rsidP="00E36B0E">
      <w:pPr>
        <w:pStyle w:val="ListParagraph"/>
        <w:numPr>
          <w:ilvl w:val="0"/>
          <w:numId w:val="1"/>
        </w:numPr>
        <w:tabs>
          <w:tab w:val="clear" w:pos="1440"/>
        </w:tabs>
        <w:spacing w:line="480" w:lineRule="auto"/>
        <w:ind w:left="0" w:firstLine="720"/>
        <w:jc w:val="both"/>
        <w:rPr>
          <w:szCs w:val="24"/>
        </w:rPr>
      </w:pPr>
      <w:r w:rsidRPr="00C52E9A">
        <w:rPr>
          <w:szCs w:val="24"/>
        </w:rPr>
        <w:t xml:space="preserve">The </w:t>
      </w:r>
      <w:r>
        <w:rPr>
          <w:szCs w:val="24"/>
        </w:rPr>
        <w:t>Digital Platform</w:t>
      </w:r>
      <w:r w:rsidRPr="00C52E9A">
        <w:rPr>
          <w:szCs w:val="24"/>
        </w:rPr>
        <w:t xml:space="preserve"> contains </w:t>
      </w:r>
      <w:r w:rsidR="005F6883">
        <w:rPr>
          <w:szCs w:val="24"/>
        </w:rPr>
        <w:t xml:space="preserve">communication </w:t>
      </w:r>
      <w:r w:rsidRPr="00C52E9A">
        <w:rPr>
          <w:szCs w:val="24"/>
        </w:rPr>
        <w:t xml:space="preserve">barriers that prevent blind persons, including </w:t>
      </w:r>
      <w:r w:rsidR="00D818A2">
        <w:rPr>
          <w:szCs w:val="24"/>
        </w:rPr>
        <w:t>Douglass</w:t>
      </w:r>
      <w:r w:rsidRPr="00C52E9A">
        <w:rPr>
          <w:szCs w:val="24"/>
        </w:rPr>
        <w:t xml:space="preserve">, </w:t>
      </w:r>
      <w:r w:rsidR="009F4EBD">
        <w:rPr>
          <w:szCs w:val="24"/>
        </w:rPr>
        <w:t>from accessing it with screen reader auxiliary aids fully and equally</w:t>
      </w:r>
      <w:r>
        <w:rPr>
          <w:szCs w:val="24"/>
        </w:rPr>
        <w:t>.</w:t>
      </w:r>
    </w:p>
    <w:p w14:paraId="16E71149" w14:textId="1625131A" w:rsidR="00B60FCC" w:rsidRDefault="00B60FCC" w:rsidP="00E36B0E">
      <w:pPr>
        <w:pStyle w:val="ListParagraph"/>
        <w:numPr>
          <w:ilvl w:val="0"/>
          <w:numId w:val="1"/>
        </w:numPr>
        <w:tabs>
          <w:tab w:val="clear" w:pos="1440"/>
        </w:tabs>
        <w:spacing w:line="480" w:lineRule="auto"/>
        <w:ind w:left="0" w:firstLine="720"/>
        <w:jc w:val="both"/>
        <w:rPr>
          <w:szCs w:val="24"/>
        </w:rPr>
      </w:pPr>
      <w:r w:rsidRPr="00C52E9A">
        <w:rPr>
          <w:szCs w:val="24"/>
        </w:rPr>
        <w:t xml:space="preserve">Because of these </w:t>
      </w:r>
      <w:r w:rsidR="005F6883">
        <w:rPr>
          <w:szCs w:val="24"/>
        </w:rPr>
        <w:t xml:space="preserve">communication </w:t>
      </w:r>
      <w:r w:rsidRPr="00C52E9A">
        <w:rPr>
          <w:szCs w:val="24"/>
        </w:rPr>
        <w:t xml:space="preserve">barriers, </w:t>
      </w:r>
      <w:r>
        <w:rPr>
          <w:szCs w:val="24"/>
        </w:rPr>
        <w:t>Defendant</w:t>
      </w:r>
      <w:r w:rsidRPr="00C52E9A">
        <w:rPr>
          <w:szCs w:val="24"/>
        </w:rPr>
        <w:t xml:space="preserve"> denies </w:t>
      </w:r>
      <w:r w:rsidR="00D818A2">
        <w:rPr>
          <w:szCs w:val="24"/>
        </w:rPr>
        <w:t>Douglass</w:t>
      </w:r>
      <w:r w:rsidRPr="00C52E9A">
        <w:rPr>
          <w:szCs w:val="24"/>
        </w:rPr>
        <w:t xml:space="preserve"> full and equal enjoyment of the information, </w:t>
      </w:r>
      <w:r w:rsidR="002C7989">
        <w:rPr>
          <w:szCs w:val="24"/>
        </w:rPr>
        <w:t>products</w:t>
      </w:r>
      <w:r w:rsidRPr="00C52E9A">
        <w:rPr>
          <w:szCs w:val="24"/>
        </w:rPr>
        <w:t xml:space="preserve">, services, facilities, privileges, advantages, or accommodations </w:t>
      </w:r>
      <w:r>
        <w:rPr>
          <w:szCs w:val="24"/>
        </w:rPr>
        <w:t xml:space="preserve">that it </w:t>
      </w:r>
      <w:r w:rsidRPr="00C52E9A">
        <w:rPr>
          <w:szCs w:val="24"/>
        </w:rPr>
        <w:t>makes available to the sighted public</w:t>
      </w:r>
      <w:r>
        <w:rPr>
          <w:szCs w:val="24"/>
        </w:rPr>
        <w:t xml:space="preserve"> through the Digital Platform.</w:t>
      </w:r>
    </w:p>
    <w:p w14:paraId="398ECED3" w14:textId="37228653" w:rsidR="00B60FCC" w:rsidRPr="00204A62" w:rsidRDefault="00B60FCC" w:rsidP="00E36B0E">
      <w:pPr>
        <w:pStyle w:val="ListParagraph"/>
        <w:numPr>
          <w:ilvl w:val="0"/>
          <w:numId w:val="1"/>
        </w:numPr>
        <w:tabs>
          <w:tab w:val="clear" w:pos="1440"/>
        </w:tabs>
        <w:spacing w:line="480" w:lineRule="auto"/>
        <w:ind w:left="0" w:firstLine="720"/>
        <w:jc w:val="both"/>
        <w:rPr>
          <w:szCs w:val="24"/>
        </w:rPr>
      </w:pPr>
      <w:r w:rsidRPr="00B15172">
        <w:t>The</w:t>
      </w:r>
      <w:r>
        <w:t>se</w:t>
      </w:r>
      <w:r w:rsidRPr="00B15172">
        <w:t xml:space="preserve"> </w:t>
      </w:r>
      <w:r>
        <w:t xml:space="preserve">access </w:t>
      </w:r>
      <w:r w:rsidRPr="00B15172">
        <w:t>barriers</w:t>
      </w:r>
      <w:r>
        <w:t xml:space="preserve"> </w:t>
      </w:r>
      <w:r w:rsidRPr="00B15172">
        <w:t>now deter</w:t>
      </w:r>
      <w:r>
        <w:t xml:space="preserve"> </w:t>
      </w:r>
      <w:r w:rsidR="00D818A2">
        <w:t>Douglass</w:t>
      </w:r>
      <w:r>
        <w:t xml:space="preserve"> from attempting to use the Digital Platform.</w:t>
      </w:r>
    </w:p>
    <w:p w14:paraId="4287FD76" w14:textId="6342FB52" w:rsidR="00204A62" w:rsidRPr="00CB1588" w:rsidRDefault="00204A62" w:rsidP="00E36B0E">
      <w:pPr>
        <w:pStyle w:val="ListParagraph"/>
        <w:numPr>
          <w:ilvl w:val="0"/>
          <w:numId w:val="1"/>
        </w:numPr>
        <w:tabs>
          <w:tab w:val="clear" w:pos="1440"/>
        </w:tabs>
        <w:spacing w:line="480" w:lineRule="auto"/>
        <w:ind w:left="0" w:firstLine="720"/>
        <w:jc w:val="both"/>
        <w:rPr>
          <w:szCs w:val="24"/>
        </w:rPr>
      </w:pPr>
      <w:r>
        <w:lastRenderedPageBreak/>
        <w:t>Douglass</w:t>
      </w:r>
      <w:r w:rsidRPr="00B15172">
        <w:t xml:space="preserve"> </w:t>
      </w:r>
      <w:r>
        <w:t xml:space="preserve">intends to attempt to access </w:t>
      </w:r>
      <w:r>
        <w:rPr>
          <w:szCs w:val="24"/>
        </w:rPr>
        <w:t xml:space="preserve">the </w:t>
      </w:r>
      <w:r>
        <w:t>Digital Platform within the next six months.</w:t>
      </w:r>
    </w:p>
    <w:p w14:paraId="39D03BC2" w14:textId="405362C9" w:rsidR="00B60FCC" w:rsidRDefault="00B60FCC" w:rsidP="00E36B0E">
      <w:pPr>
        <w:numPr>
          <w:ilvl w:val="0"/>
          <w:numId w:val="1"/>
        </w:numPr>
        <w:tabs>
          <w:tab w:val="clear" w:pos="1440"/>
        </w:tabs>
        <w:spacing w:line="480" w:lineRule="auto"/>
        <w:ind w:left="0" w:firstLine="720"/>
        <w:jc w:val="both"/>
        <w:rPr>
          <w:szCs w:val="24"/>
        </w:rPr>
      </w:pPr>
      <w:r>
        <w:rPr>
          <w:szCs w:val="24"/>
        </w:rPr>
        <w:t>Defendant’s discrimination is ongoing.</w:t>
      </w:r>
    </w:p>
    <w:p w14:paraId="487C42DB" w14:textId="6B87F172" w:rsidR="00B60FCC" w:rsidRDefault="00B60FCC" w:rsidP="00B60FCC">
      <w:pPr>
        <w:spacing w:line="480" w:lineRule="auto"/>
        <w:jc w:val="center"/>
        <w:rPr>
          <w:szCs w:val="24"/>
        </w:rPr>
      </w:pPr>
      <w:r>
        <w:rPr>
          <w:b/>
          <w:bCs/>
          <w:szCs w:val="24"/>
          <w:u w:val="single"/>
        </w:rPr>
        <w:t>PRAYER FOR RELIEF</w:t>
      </w:r>
    </w:p>
    <w:p w14:paraId="33F8ADB8" w14:textId="5903AEB6" w:rsidR="00B60FCC" w:rsidRPr="00D27F21" w:rsidRDefault="00B60FCC" w:rsidP="00E36B0E">
      <w:pPr>
        <w:spacing w:line="480" w:lineRule="auto"/>
        <w:ind w:firstLine="720"/>
        <w:jc w:val="both"/>
        <w:rPr>
          <w:szCs w:val="24"/>
        </w:rPr>
      </w:pPr>
      <w:r>
        <w:rPr>
          <w:szCs w:val="24"/>
        </w:rPr>
        <w:t xml:space="preserve">WHEREFORE, </w:t>
      </w:r>
      <w:r w:rsidR="00D818A2">
        <w:rPr>
          <w:szCs w:val="24"/>
        </w:rPr>
        <w:t>Douglass</w:t>
      </w:r>
      <w:r>
        <w:rPr>
          <w:szCs w:val="24"/>
        </w:rPr>
        <w:t xml:space="preserve"> requests judgment as follows:</w:t>
      </w:r>
    </w:p>
    <w:p w14:paraId="76DD405C" w14:textId="4138360C" w:rsidR="008D6ED1" w:rsidRDefault="008D6ED1" w:rsidP="00E36B0E">
      <w:pPr>
        <w:pStyle w:val="ListParagraph"/>
        <w:numPr>
          <w:ilvl w:val="0"/>
          <w:numId w:val="4"/>
        </w:numPr>
        <w:spacing w:line="480" w:lineRule="auto"/>
        <w:ind w:left="0" w:firstLine="720"/>
        <w:jc w:val="both"/>
      </w:pPr>
      <w:r>
        <w:rPr>
          <w:szCs w:val="24"/>
        </w:rPr>
        <w:t>An order certifying the proposed Class, appointing Douglass as representative of the proposed Class, and appointing undersigned counsel as counsel for the proposed Class</w:t>
      </w:r>
      <w:r>
        <w:t>;</w:t>
      </w:r>
    </w:p>
    <w:p w14:paraId="662D4A54" w14:textId="28F91667" w:rsidR="00B60FCC" w:rsidRDefault="00B60FCC" w:rsidP="00E36B0E">
      <w:pPr>
        <w:pStyle w:val="ListParagraph"/>
        <w:numPr>
          <w:ilvl w:val="0"/>
          <w:numId w:val="4"/>
        </w:numPr>
        <w:spacing w:line="480" w:lineRule="auto"/>
        <w:ind w:left="0" w:firstLine="720"/>
        <w:jc w:val="both"/>
      </w:pPr>
      <w:r>
        <w:t xml:space="preserve">A Declaratory Judgment that at the commencement of this action </w:t>
      </w:r>
      <w:r>
        <w:rPr>
          <w:szCs w:val="24"/>
        </w:rPr>
        <w:t xml:space="preserve">Defendant was </w:t>
      </w:r>
      <w:r>
        <w:t xml:space="preserve">in violation of the specific requirements of Title III of the ADA described above, and the relevant implementing regulations of the ADA, in that </w:t>
      </w:r>
      <w:r>
        <w:rPr>
          <w:szCs w:val="24"/>
        </w:rPr>
        <w:t>Defendant</w:t>
      </w:r>
      <w:r>
        <w:t xml:space="preserve"> took no action that was reasonably calculated to ensure </w:t>
      </w:r>
      <w:r w:rsidR="000D5DCA">
        <w:t xml:space="preserve">Defendant communicated </w:t>
      </w:r>
      <w:r>
        <w:t xml:space="preserve">the </w:t>
      </w:r>
      <w:r w:rsidR="000D5DCA">
        <w:t xml:space="preserve">digital content of its </w:t>
      </w:r>
      <w:r>
        <w:t xml:space="preserve">Digital Platform </w:t>
      </w:r>
      <w:r w:rsidR="000D5DCA">
        <w:t xml:space="preserve">to individuals with disabilities effectively such that </w:t>
      </w:r>
      <w:r w:rsidR="00263E48">
        <w:t>Douglass</w:t>
      </w:r>
      <w:r w:rsidR="000D5DCA">
        <w:t xml:space="preserve"> could fully, equally, and independently access Defendant’s </w:t>
      </w:r>
      <w:r w:rsidR="002C7989">
        <w:t>products</w:t>
      </w:r>
      <w:r w:rsidR="000D5DCA">
        <w:t xml:space="preserve"> and services</w:t>
      </w:r>
      <w:r>
        <w:t>;</w:t>
      </w:r>
    </w:p>
    <w:p w14:paraId="7289543A" w14:textId="7C3FFDD2" w:rsidR="00B60FCC" w:rsidRPr="002C4A3B" w:rsidRDefault="00B60FCC" w:rsidP="00E36B0E">
      <w:pPr>
        <w:pStyle w:val="ListParagraph"/>
        <w:numPr>
          <w:ilvl w:val="0"/>
          <w:numId w:val="4"/>
        </w:numPr>
        <w:spacing w:line="480" w:lineRule="auto"/>
        <w:ind w:left="0" w:firstLine="720"/>
        <w:jc w:val="both"/>
      </w:pPr>
      <w:r w:rsidRPr="00D27F21">
        <w:rPr>
          <w:szCs w:val="24"/>
        </w:rPr>
        <w:t xml:space="preserve">A permanent injunction pursuant to </w:t>
      </w:r>
      <w:bookmarkStart w:id="43" w:name="dabmci_0c714aed32a0451481c6567ed2dee20f"/>
      <w:r w:rsidRPr="00D27F21">
        <w:rPr>
          <w:szCs w:val="24"/>
        </w:rPr>
        <w:t>42 U.S.C. § 12188(a)(2)</w:t>
      </w:r>
      <w:bookmarkEnd w:id="43"/>
      <w:r w:rsidRPr="00D27F21">
        <w:rPr>
          <w:szCs w:val="24"/>
        </w:rPr>
        <w:t xml:space="preserve"> and </w:t>
      </w:r>
      <w:bookmarkStart w:id="44" w:name="dabmci_c9d98307b7f54c87baff969f1eb80a89"/>
      <w:r w:rsidRPr="00D27F21">
        <w:rPr>
          <w:szCs w:val="24"/>
        </w:rPr>
        <w:t>28 CFR § 36.504(a)</w:t>
      </w:r>
      <w:bookmarkEnd w:id="44"/>
      <w:r w:rsidRPr="00D27F21">
        <w:rPr>
          <w:szCs w:val="24"/>
        </w:rPr>
        <w:t xml:space="preserve"> which directs Defendant to take all steps necessary to </w:t>
      </w:r>
      <w:r w:rsidR="000D5DCA">
        <w:rPr>
          <w:szCs w:val="24"/>
        </w:rPr>
        <w:t xml:space="preserve">communicate </w:t>
      </w:r>
      <w:r w:rsidRPr="00D27F21">
        <w:rPr>
          <w:szCs w:val="24"/>
        </w:rPr>
        <w:t xml:space="preserve">the </w:t>
      </w:r>
      <w:r w:rsidR="000D5DCA">
        <w:rPr>
          <w:szCs w:val="24"/>
        </w:rPr>
        <w:t xml:space="preserve">content of its </w:t>
      </w:r>
      <w:r w:rsidRPr="00D27F21">
        <w:rPr>
          <w:szCs w:val="24"/>
        </w:rPr>
        <w:t xml:space="preserve">Digital Platform </w:t>
      </w:r>
      <w:r w:rsidR="000D5DCA">
        <w:rPr>
          <w:szCs w:val="24"/>
        </w:rPr>
        <w:t xml:space="preserve">to screen reader users effectively such that Defendant’s online </w:t>
      </w:r>
      <w:r w:rsidR="002C7989">
        <w:rPr>
          <w:szCs w:val="24"/>
        </w:rPr>
        <w:t>products</w:t>
      </w:r>
      <w:r w:rsidR="000D5DCA">
        <w:rPr>
          <w:szCs w:val="24"/>
        </w:rPr>
        <w:t xml:space="preserve"> and services are</w:t>
      </w:r>
      <w:r w:rsidRPr="00D27F21">
        <w:rPr>
          <w:szCs w:val="24"/>
        </w:rPr>
        <w:t xml:space="preserve"> fully</w:t>
      </w:r>
      <w:r w:rsidR="000D5DCA">
        <w:rPr>
          <w:szCs w:val="24"/>
        </w:rPr>
        <w:t>, equally, and independently</w:t>
      </w:r>
      <w:r w:rsidRPr="00D27F21">
        <w:rPr>
          <w:szCs w:val="24"/>
        </w:rPr>
        <w:t xml:space="preserve"> accessible to</w:t>
      </w:r>
      <w:r w:rsidR="0058517B">
        <w:rPr>
          <w:szCs w:val="24"/>
        </w:rPr>
        <w:t xml:space="preserve"> individuals with visual disabilities</w:t>
      </w:r>
      <w:r w:rsidRPr="00D27F21">
        <w:rPr>
          <w:szCs w:val="24"/>
        </w:rPr>
        <w:t xml:space="preserve">, and which further directs that the Court shall retain jurisdiction for a period to be determined to ensure that Defendant has adopted and is following an institutional policy that will in fact cause it to remain fully in compliance with the law—the specific injunctive relief requested by Plaintiff is described more fully </w:t>
      </w:r>
      <w:r>
        <w:rPr>
          <w:szCs w:val="24"/>
        </w:rPr>
        <w:t>below:</w:t>
      </w:r>
      <w:r>
        <w:rPr>
          <w:rStyle w:val="FootnoteReference"/>
          <w:szCs w:val="24"/>
        </w:rPr>
        <w:footnoteReference w:id="60"/>
      </w:r>
    </w:p>
    <w:p w14:paraId="19711B80" w14:textId="77777777" w:rsidR="00B60FCC" w:rsidRDefault="00B60FCC" w:rsidP="00E36B0E">
      <w:pPr>
        <w:pStyle w:val="ListParagraph"/>
        <w:numPr>
          <w:ilvl w:val="1"/>
          <w:numId w:val="4"/>
        </w:numPr>
        <w:spacing w:line="480" w:lineRule="auto"/>
        <w:ind w:left="0" w:firstLine="1440"/>
        <w:jc w:val="both"/>
      </w:pPr>
      <w:r>
        <w:lastRenderedPageBreak/>
        <w:t>Within 90-days of the Court’s Order, Defendant</w:t>
      </w:r>
      <w:r w:rsidRPr="002C4A3B">
        <w:t> shall</w:t>
      </w:r>
      <w:r>
        <w:t xml:space="preserve"> </w:t>
      </w:r>
      <w:r w:rsidRPr="002C4A3B">
        <w:t xml:space="preserve">complete an accessibility audit of its </w:t>
      </w:r>
      <w:r>
        <w:t>Digital Platform</w:t>
      </w:r>
      <w:r w:rsidRPr="002C4A3B">
        <w:t xml:space="preserve"> that will examine the accessibility and usability of the </w:t>
      </w:r>
      <w:r>
        <w:t>Digital Platform</w:t>
      </w:r>
      <w:r w:rsidRPr="002C4A3B">
        <w:t xml:space="preserve"> </w:t>
      </w:r>
      <w:r>
        <w:t>by consumers who</w:t>
      </w:r>
      <w:r w:rsidRPr="002C4A3B">
        <w:t xml:space="preserve"> are blind.</w:t>
      </w:r>
    </w:p>
    <w:p w14:paraId="2338BCAB" w14:textId="77777777" w:rsidR="00B60FCC" w:rsidRDefault="00B60FCC" w:rsidP="00E36B0E">
      <w:pPr>
        <w:pStyle w:val="ListParagraph"/>
        <w:numPr>
          <w:ilvl w:val="1"/>
          <w:numId w:val="4"/>
        </w:numPr>
        <w:spacing w:line="480" w:lineRule="auto"/>
        <w:ind w:left="0" w:firstLine="1440"/>
        <w:jc w:val="both"/>
      </w:pPr>
      <w:r>
        <w:t xml:space="preserve">Within 180-days of the Court’s Order, Defendant </w:t>
      </w:r>
      <w:r w:rsidRPr="002C4A3B">
        <w:t>shall develop a</w:t>
      </w:r>
      <w:r>
        <w:t xml:space="preserve"> </w:t>
      </w:r>
      <w:r w:rsidRPr="002C4A3B">
        <w:t xml:space="preserve">corrective action strategy (“Strategy”) based on the audit findings. </w:t>
      </w:r>
      <w:r>
        <w:t>In addition to the deadlines outlined below, t</w:t>
      </w:r>
      <w:r w:rsidRPr="002C4A3B">
        <w:t>he Strategy shall include dates by which corrective action shall be completed.</w:t>
      </w:r>
    </w:p>
    <w:p w14:paraId="52AAA451" w14:textId="77777777" w:rsidR="00B60FCC" w:rsidRDefault="00B60FCC" w:rsidP="00E36B0E">
      <w:pPr>
        <w:pStyle w:val="ListParagraph"/>
        <w:numPr>
          <w:ilvl w:val="1"/>
          <w:numId w:val="4"/>
        </w:numPr>
        <w:spacing w:line="480" w:lineRule="auto"/>
        <w:ind w:left="0" w:firstLine="1440"/>
        <w:jc w:val="both"/>
      </w:pPr>
      <w:r>
        <w:t xml:space="preserve">Within 210-days of the Court’s Order, Defendant </w:t>
      </w:r>
      <w:r w:rsidRPr="009703FF">
        <w:t xml:space="preserve">shall disseminate the Strategy among its </w:t>
      </w:r>
      <w:r>
        <w:t xml:space="preserve">executive-level managers, </w:t>
      </w:r>
      <w:r>
        <w:rPr>
          <w:iCs/>
          <w:szCs w:val="24"/>
        </w:rPr>
        <w:t>employees, and contractors, if any, involved in digital development</w:t>
      </w:r>
      <w:r w:rsidRPr="009703FF">
        <w:t xml:space="preserve"> and post it on </w:t>
      </w:r>
      <w:r>
        <w:t>the Digital Platform.</w:t>
      </w:r>
    </w:p>
    <w:p w14:paraId="776E9A1A" w14:textId="589897F2" w:rsidR="00B60FCC" w:rsidRDefault="00B60FCC" w:rsidP="00E36B0E">
      <w:pPr>
        <w:pStyle w:val="ListParagraph"/>
        <w:numPr>
          <w:ilvl w:val="1"/>
          <w:numId w:val="4"/>
        </w:numPr>
        <w:spacing w:line="480" w:lineRule="auto"/>
        <w:ind w:left="0" w:firstLine="1440"/>
        <w:jc w:val="both"/>
      </w:pPr>
      <w:r>
        <w:t xml:space="preserve">Within 90-days of the Court’s Order, Defendant </w:t>
      </w:r>
      <w:r w:rsidRPr="009703FF">
        <w:t>shall develop a</w:t>
      </w:r>
      <w:r>
        <w:t xml:space="preserve"> Digital </w:t>
      </w:r>
      <w:r w:rsidRPr="009703FF">
        <w:t>Accessibility Policy Statement that demonstrate</w:t>
      </w:r>
      <w:r>
        <w:t>s</w:t>
      </w:r>
      <w:r w:rsidRPr="009703FF">
        <w:t xml:space="preserve"> its commitment to </w:t>
      </w:r>
      <w:r>
        <w:t>digital</w:t>
      </w:r>
      <w:r w:rsidRPr="009703FF">
        <w:t xml:space="preserve"> accessibility to blind and other print disabled </w:t>
      </w:r>
      <w:r>
        <w:t>consumers</w:t>
      </w:r>
      <w:r w:rsidRPr="009703FF">
        <w:t>, as required by the Americans with Disabilities Act. This Policy</w:t>
      </w:r>
      <w:r>
        <w:t xml:space="preserve"> Statement</w:t>
      </w:r>
      <w:r w:rsidRPr="009703FF">
        <w:t xml:space="preserve"> shall be posted </w:t>
      </w:r>
      <w:r w:rsidR="0058517B">
        <w:t>in the header of each homepage on</w:t>
      </w:r>
      <w:r w:rsidRPr="009703FF">
        <w:t xml:space="preserve"> </w:t>
      </w:r>
      <w:r>
        <w:t>the Digital Platform within 120-days of the Court’s Order</w:t>
      </w:r>
      <w:r w:rsidRPr="009703FF">
        <w:t xml:space="preserve">, and shall disclose that an audit is taking </w:t>
      </w:r>
      <w:r>
        <w:t xml:space="preserve">or has taken </w:t>
      </w:r>
      <w:r w:rsidRPr="009703FF">
        <w:t xml:space="preserve">place and that a Strategy will be disseminated and posted </w:t>
      </w:r>
      <w:r>
        <w:t>on the Digital Platform within 180-days of the Court’s Order.</w:t>
      </w:r>
    </w:p>
    <w:p w14:paraId="691AE01D" w14:textId="77777777" w:rsidR="00B60FCC" w:rsidRDefault="00B60FCC" w:rsidP="00E36B0E">
      <w:pPr>
        <w:pStyle w:val="ListParagraph"/>
        <w:numPr>
          <w:ilvl w:val="1"/>
          <w:numId w:val="4"/>
        </w:numPr>
        <w:spacing w:line="480" w:lineRule="auto"/>
        <w:ind w:left="0" w:firstLine="1440"/>
        <w:jc w:val="both"/>
      </w:pPr>
      <w:r>
        <w:t xml:space="preserve">Within 240-days of the Court’s Order, Defendant </w:t>
      </w:r>
      <w:r w:rsidRPr="00854CD9">
        <w:t xml:space="preserve">shall develop procedures to implement its </w:t>
      </w:r>
      <w:r>
        <w:t>Digital</w:t>
      </w:r>
      <w:r w:rsidRPr="00854CD9">
        <w:t xml:space="preserve"> Accessibility Policy across </w:t>
      </w:r>
      <w:r>
        <w:t>the entire Digital Platform</w:t>
      </w:r>
      <w:r w:rsidRPr="00854CD9">
        <w:t xml:space="preserve">. </w:t>
      </w:r>
      <w:r>
        <w:t xml:space="preserve">Defendant </w:t>
      </w:r>
      <w:r w:rsidRPr="00854CD9">
        <w:t xml:space="preserve">shall disseminate its Policy and procedures to </w:t>
      </w:r>
      <w:r w:rsidRPr="009703FF">
        <w:t xml:space="preserve">its </w:t>
      </w:r>
      <w:r>
        <w:t xml:space="preserve">executive-level managers, </w:t>
      </w:r>
      <w:r>
        <w:rPr>
          <w:iCs/>
          <w:szCs w:val="24"/>
        </w:rPr>
        <w:t>employees, and contractors, if any, involved in digital development</w:t>
      </w:r>
      <w:r>
        <w:t>.</w:t>
      </w:r>
    </w:p>
    <w:p w14:paraId="47149E5D" w14:textId="77777777" w:rsidR="00B60FCC" w:rsidRDefault="00B60FCC" w:rsidP="00E36B0E">
      <w:pPr>
        <w:pStyle w:val="ListParagraph"/>
        <w:numPr>
          <w:ilvl w:val="1"/>
          <w:numId w:val="4"/>
        </w:numPr>
        <w:spacing w:line="480" w:lineRule="auto"/>
        <w:ind w:left="0" w:firstLine="1440"/>
        <w:jc w:val="both"/>
      </w:pPr>
      <w:r>
        <w:lastRenderedPageBreak/>
        <w:t xml:space="preserve">Within 12-months of the Court’s Order, Defendant </w:t>
      </w:r>
      <w:r w:rsidRPr="00854CD9">
        <w:t xml:space="preserve">shall conduct training, instruction and support </w:t>
      </w:r>
      <w:r>
        <w:rPr>
          <w:iCs/>
          <w:szCs w:val="24"/>
        </w:rPr>
        <w:t xml:space="preserve">to ensure that all executive-level </w:t>
      </w:r>
      <w:r>
        <w:t xml:space="preserve">managers and </w:t>
      </w:r>
      <w:r>
        <w:rPr>
          <w:iCs/>
          <w:szCs w:val="24"/>
        </w:rPr>
        <w:t xml:space="preserve">employees involved in digital development are aware of and </w:t>
      </w:r>
      <w:r>
        <w:t>understand the Digital</w:t>
      </w:r>
      <w:r w:rsidRPr="00854CD9">
        <w:t xml:space="preserve"> Accessibility Policy</w:t>
      </w:r>
      <w:r>
        <w:t xml:space="preserve">, including proper </w:t>
      </w:r>
      <w:r w:rsidRPr="00854CD9">
        <w:t>procedures</w:t>
      </w:r>
      <w:r>
        <w:t xml:space="preserve">, </w:t>
      </w:r>
      <w:r w:rsidRPr="00854CD9">
        <w:t>tools</w:t>
      </w:r>
      <w:r>
        <w:t xml:space="preserve">, </w:t>
      </w:r>
      <w:r w:rsidRPr="00854CD9">
        <w:t xml:space="preserve">and techniques </w:t>
      </w:r>
      <w:r>
        <w:t>to implement the Digital</w:t>
      </w:r>
      <w:r w:rsidRPr="00854CD9">
        <w:t xml:space="preserve"> Accessibility Policy effectively and consistently</w:t>
      </w:r>
      <w:r>
        <w:t>.</w:t>
      </w:r>
    </w:p>
    <w:p w14:paraId="7D0C29DA" w14:textId="77777777" w:rsidR="00B60FCC" w:rsidRDefault="00B60FCC" w:rsidP="00E36B0E">
      <w:pPr>
        <w:pStyle w:val="ListParagraph"/>
        <w:numPr>
          <w:ilvl w:val="1"/>
          <w:numId w:val="4"/>
        </w:numPr>
        <w:spacing w:line="480" w:lineRule="auto"/>
        <w:ind w:left="0" w:firstLine="1440"/>
        <w:jc w:val="both"/>
      </w:pPr>
      <w:r>
        <w:t xml:space="preserve">Within 12-months of the Court’s Order, Defendant </w:t>
      </w:r>
      <w:r w:rsidRPr="007E414C">
        <w:t xml:space="preserve">shall hire or designate a staff person with responsibility and commensurate authority, to monitor the </w:t>
      </w:r>
      <w:r>
        <w:t>Digital</w:t>
      </w:r>
      <w:r w:rsidRPr="007E414C">
        <w:t xml:space="preserve"> Accessibility Policy and procedures</w:t>
      </w:r>
      <w:r>
        <w:t>.</w:t>
      </w:r>
    </w:p>
    <w:p w14:paraId="56AE88C1" w14:textId="0F9568DA" w:rsidR="00B60FCC" w:rsidRDefault="00B60FCC" w:rsidP="00E36B0E">
      <w:pPr>
        <w:pStyle w:val="ListParagraph"/>
        <w:numPr>
          <w:ilvl w:val="1"/>
          <w:numId w:val="4"/>
        </w:numPr>
        <w:spacing w:line="480" w:lineRule="auto"/>
        <w:ind w:left="0" w:firstLine="1440"/>
        <w:jc w:val="both"/>
      </w:pPr>
      <w:r>
        <w:t>Within 12-months of the Court’s Order</w:t>
      </w:r>
      <w:r w:rsidRPr="007E414C">
        <w:t xml:space="preserve">, </w:t>
      </w:r>
      <w:r>
        <w:t xml:space="preserve">Defendant </w:t>
      </w:r>
      <w:r w:rsidRPr="007E414C">
        <w:t>shall develop and institute procedures that require</w:t>
      </w:r>
      <w:r>
        <w:t xml:space="preserve"> third-party content and plug-ins built into the Digital Platform to </w:t>
      </w:r>
      <w:r w:rsidRPr="007E414C">
        <w:t xml:space="preserve">provide </w:t>
      </w:r>
      <w:r>
        <w:t xml:space="preserve">blind consumers </w:t>
      </w:r>
      <w:r w:rsidRPr="007E414C">
        <w:t>the same programs, benefits and services that they do to individuals without disabilities, except that when it is technically unfeasible to do so.</w:t>
      </w:r>
      <w:r>
        <w:t xml:space="preserve"> Defendant </w:t>
      </w:r>
      <w:r w:rsidRPr="00DB6E21">
        <w:t xml:space="preserve">shall effectuate these obligations by, among other things, implementing as part of its </w:t>
      </w:r>
      <w:r>
        <w:t>Request for Proposal</w:t>
      </w:r>
      <w:r w:rsidRPr="00DB6E21">
        <w:t xml:space="preserve"> process language that bidders meet the accessibility standards set forth in WCAG 2.</w:t>
      </w:r>
      <w:r w:rsidR="009F4EBD">
        <w:t>1</w:t>
      </w:r>
      <w:r w:rsidRPr="00DB6E21">
        <w:t xml:space="preserve"> Level AA for web-based technology</w:t>
      </w:r>
      <w:r>
        <w:t xml:space="preserve"> </w:t>
      </w:r>
      <w:r w:rsidRPr="00DB6E21">
        <w:t xml:space="preserve">and the Americans with Disabilities Act; requiring or encouraging, at </w:t>
      </w:r>
      <w:r>
        <w:t xml:space="preserve">Defendant’s </w:t>
      </w:r>
      <w:r w:rsidRPr="00DB6E21">
        <w:t>discretion, as part of any contract with its vendors, provisions in which the vendor warrants that any technology provided complies with these standards and any applicable current federal disability law</w:t>
      </w:r>
      <w:r>
        <w:t>.</w:t>
      </w:r>
    </w:p>
    <w:p w14:paraId="00C137FF" w14:textId="77777777" w:rsidR="00B60FCC" w:rsidRDefault="00B60FCC" w:rsidP="00E36B0E">
      <w:pPr>
        <w:pStyle w:val="ListParagraph"/>
        <w:numPr>
          <w:ilvl w:val="1"/>
          <w:numId w:val="4"/>
        </w:numPr>
        <w:spacing w:line="480" w:lineRule="auto"/>
        <w:ind w:left="0" w:firstLine="1440"/>
        <w:jc w:val="both"/>
      </w:pPr>
      <w:r>
        <w:t xml:space="preserve">Within 18-months, </w:t>
      </w:r>
      <w:r w:rsidRPr="00775E30">
        <w:t>all pages hosted on th</w:t>
      </w:r>
      <w:r>
        <w:t xml:space="preserve">e Digital Platform </w:t>
      </w:r>
      <w:r w:rsidRPr="00775E30">
        <w:t>that have bee</w:t>
      </w:r>
      <w:r>
        <w:t xml:space="preserve">n </w:t>
      </w:r>
      <w:r w:rsidRPr="00775E30">
        <w:t xml:space="preserve">published shall be </w:t>
      </w:r>
      <w:r>
        <w:t>A</w:t>
      </w:r>
      <w:r w:rsidRPr="00775E30">
        <w:t>ccessible to blind users. </w:t>
      </w:r>
      <w:r w:rsidRPr="00BB4470">
        <w:t xml:space="preserve">“Accessible” means fully and equally accessible to and independently usable by blind individuals so that blind </w:t>
      </w:r>
      <w:r>
        <w:t>consumers</w:t>
      </w:r>
      <w:r w:rsidRPr="00BB4470">
        <w:t xml:space="preserve"> are able to acquire the same information</w:t>
      </w:r>
      <w:r>
        <w:t>,</w:t>
      </w:r>
      <w:r w:rsidRPr="00BB4470">
        <w:t xml:space="preserve"> engage in the same interactions</w:t>
      </w:r>
      <w:r>
        <w:t>,</w:t>
      </w:r>
      <w:r w:rsidRPr="00BB4470">
        <w:t xml:space="preserve"> and enjoy the same services as sighted </w:t>
      </w:r>
      <w:r>
        <w:t>consumers</w:t>
      </w:r>
      <w:r w:rsidRPr="00BB4470">
        <w:t>, with substantially equivalent ease of use</w:t>
      </w:r>
      <w:r>
        <w:t>.</w:t>
      </w:r>
    </w:p>
    <w:p w14:paraId="0F8DE9FC" w14:textId="77777777" w:rsidR="00B60FCC" w:rsidRDefault="00B60FCC" w:rsidP="00E36B0E">
      <w:pPr>
        <w:pStyle w:val="ListParagraph"/>
        <w:numPr>
          <w:ilvl w:val="1"/>
          <w:numId w:val="4"/>
        </w:numPr>
        <w:spacing w:line="480" w:lineRule="auto"/>
        <w:ind w:left="0" w:firstLine="1440"/>
        <w:jc w:val="both"/>
      </w:pPr>
      <w:r>
        <w:lastRenderedPageBreak/>
        <w:t>Defendant shall not release for public viewing or use a substantial addition, update, or change to the Digital Platform until it has determined through automated and user testing that those proposed additions, updates, or changes are Accessible.</w:t>
      </w:r>
    </w:p>
    <w:p w14:paraId="525632CD" w14:textId="5919D409" w:rsidR="00B60FCC" w:rsidRDefault="00B60FCC" w:rsidP="00E36B0E">
      <w:pPr>
        <w:pStyle w:val="ListParagraph"/>
        <w:numPr>
          <w:ilvl w:val="1"/>
          <w:numId w:val="4"/>
        </w:numPr>
        <w:spacing w:line="480" w:lineRule="auto"/>
        <w:ind w:left="0" w:firstLine="1440"/>
        <w:jc w:val="both"/>
      </w:pPr>
      <w:r>
        <w:t xml:space="preserve">Defendant </w:t>
      </w:r>
      <w:r w:rsidRPr="00775E30">
        <w:t xml:space="preserve">shall conduct </w:t>
      </w:r>
      <w:r>
        <w:t xml:space="preserve">(a) </w:t>
      </w:r>
      <w:r w:rsidRPr="00775E30">
        <w:t xml:space="preserve">an </w:t>
      </w:r>
      <w:r>
        <w:t xml:space="preserve">automated </w:t>
      </w:r>
      <w:r w:rsidRPr="00775E30">
        <w:t>scan monthly</w:t>
      </w:r>
      <w:r>
        <w:t xml:space="preserve"> and (b) end-</w:t>
      </w:r>
      <w:r w:rsidR="00B469B4">
        <w:t>u</w:t>
      </w:r>
      <w:r>
        <w:t>ser testing quarterly</w:t>
      </w:r>
      <w:r w:rsidRPr="00775E30">
        <w:t xml:space="preserve"> thereafter to ascertain whether any new posted content is accessible.</w:t>
      </w:r>
      <w:r w:rsidRPr="00DF6764">
        <w:rPr>
          <w:rFonts w:ascii="Lucida Sans" w:hAnsi="Lucida Sans"/>
          <w:color w:val="000000"/>
          <w:sz w:val="21"/>
          <w:szCs w:val="21"/>
          <w:shd w:val="clear" w:color="auto" w:fill="FFFFFF"/>
        </w:rPr>
        <w:t xml:space="preserve"> </w:t>
      </w:r>
      <w:r>
        <w:t xml:space="preserve">Defendant </w:t>
      </w:r>
      <w:r w:rsidRPr="00DF6764">
        <w:t xml:space="preserve">shall notify </w:t>
      </w:r>
      <w:r>
        <w:t xml:space="preserve">all </w:t>
      </w:r>
      <w:r>
        <w:rPr>
          <w:iCs/>
          <w:szCs w:val="24"/>
        </w:rPr>
        <w:t>employees and contractors, if any, involved in digital development</w:t>
      </w:r>
      <w:r w:rsidRPr="00DF6764">
        <w:t xml:space="preserve"> if corrections to </w:t>
      </w:r>
      <w:r w:rsidR="00B469B4">
        <w:t xml:space="preserve">the </w:t>
      </w:r>
      <w:r>
        <w:t>Digital Platform</w:t>
      </w:r>
      <w:r w:rsidRPr="00DF6764">
        <w:t xml:space="preserve"> are needed and of reasonable timelines for corrections to be made. </w:t>
      </w:r>
      <w:r>
        <w:t xml:space="preserve">Defendant </w:t>
      </w:r>
      <w:r w:rsidRPr="00DF6764">
        <w:t>shall note if corrective action has been taken during the next monthly scan</w:t>
      </w:r>
      <w:r>
        <w:t xml:space="preserve"> and quarterly end-user test</w:t>
      </w:r>
      <w:r w:rsidRPr="00DF6764">
        <w:t>.</w:t>
      </w:r>
    </w:p>
    <w:p w14:paraId="4FE7C80A" w14:textId="77777777" w:rsidR="00B60FCC" w:rsidRDefault="00B60FCC" w:rsidP="00E36B0E">
      <w:pPr>
        <w:pStyle w:val="ListParagraph"/>
        <w:numPr>
          <w:ilvl w:val="1"/>
          <w:numId w:val="4"/>
        </w:numPr>
        <w:spacing w:line="480" w:lineRule="auto"/>
        <w:ind w:left="0" w:firstLine="1440"/>
        <w:jc w:val="both"/>
      </w:pPr>
      <w:r>
        <w:t>Following the date of the Court’s Order, for each new, renewed, or renegotiated contract with a vendor of Third-Party Content, Defendant shall seek a commitment from the vendor to provide content in a format that is Accessible.</w:t>
      </w:r>
    </w:p>
    <w:p w14:paraId="09F1F676" w14:textId="77777777" w:rsidR="00B60FCC" w:rsidRPr="008E1F72" w:rsidRDefault="00B60FCC" w:rsidP="00E36B0E">
      <w:pPr>
        <w:pStyle w:val="ListParagraph"/>
        <w:numPr>
          <w:ilvl w:val="1"/>
          <w:numId w:val="4"/>
        </w:numPr>
        <w:spacing w:line="480" w:lineRule="auto"/>
        <w:ind w:left="0" w:firstLine="1440"/>
        <w:jc w:val="both"/>
      </w:pPr>
      <w:r>
        <w:t xml:space="preserve">Defendant </w:t>
      </w:r>
      <w:r w:rsidRPr="00DF6764">
        <w:t xml:space="preserve">shall provide </w:t>
      </w:r>
      <w:r>
        <w:t>Plaintiff, through his counsel,</w:t>
      </w:r>
      <w:r w:rsidRPr="00DF6764">
        <w:t xml:space="preserve"> with a report on the first </w:t>
      </w:r>
      <w:r>
        <w:t xml:space="preserve">and second </w:t>
      </w:r>
      <w:r w:rsidRPr="00DF6764">
        <w:t>anniversar</w:t>
      </w:r>
      <w:r>
        <w:t>ies</w:t>
      </w:r>
      <w:r w:rsidRPr="00DF6764">
        <w:t xml:space="preserve"> of th</w:t>
      </w:r>
      <w:r>
        <w:t xml:space="preserve">e Court’s Order </w:t>
      </w:r>
      <w:r w:rsidRPr="00DF6764">
        <w:t xml:space="preserve">which summarize the progress </w:t>
      </w:r>
      <w:r>
        <w:t>Defendant</w:t>
      </w:r>
      <w:r w:rsidRPr="00DF6764">
        <w:t xml:space="preserve"> is making in meeting its obligations. Additional communication will occur before and after </w:t>
      </w:r>
      <w:r>
        <w:t xml:space="preserve">each </w:t>
      </w:r>
      <w:r w:rsidRPr="00DF6764">
        <w:t>anniversary to address any possible delays or other obstacles encountered with the implementation of th</w:t>
      </w:r>
      <w:r>
        <w:t>e Digital Accessibility Policy</w:t>
      </w:r>
      <w:r w:rsidRPr="00DF6764">
        <w:t>.</w:t>
      </w:r>
    </w:p>
    <w:p w14:paraId="2288C3A4" w14:textId="77777777" w:rsidR="00B60FCC" w:rsidRDefault="00B60FCC" w:rsidP="00E36B0E">
      <w:pPr>
        <w:pStyle w:val="ListParagraph"/>
        <w:numPr>
          <w:ilvl w:val="0"/>
          <w:numId w:val="4"/>
        </w:numPr>
        <w:spacing w:before="240" w:line="480" w:lineRule="auto"/>
        <w:ind w:left="0" w:firstLine="720"/>
        <w:jc w:val="both"/>
      </w:pPr>
      <w:r w:rsidRPr="00814C64">
        <w:t xml:space="preserve">Payment of actual, statutory, </w:t>
      </w:r>
      <w:r>
        <w:t xml:space="preserve">nominal, </w:t>
      </w:r>
      <w:r w:rsidRPr="00814C64">
        <w:t>and other damages, as the Court deems proper</w:t>
      </w:r>
      <w:r>
        <w:t>;</w:t>
      </w:r>
    </w:p>
    <w:p w14:paraId="73C63BF3" w14:textId="77777777" w:rsidR="00B60FCC" w:rsidRDefault="00B60FCC" w:rsidP="00E36B0E">
      <w:pPr>
        <w:pStyle w:val="ListParagraph"/>
        <w:numPr>
          <w:ilvl w:val="0"/>
          <w:numId w:val="4"/>
        </w:numPr>
        <w:spacing w:before="240" w:line="480" w:lineRule="auto"/>
        <w:ind w:left="0" w:firstLine="720"/>
        <w:jc w:val="both"/>
      </w:pPr>
      <w:r>
        <w:t>Payment of costs of suit;</w:t>
      </w:r>
    </w:p>
    <w:p w14:paraId="16F6BD29" w14:textId="77777777" w:rsidR="00B60FCC" w:rsidRDefault="00B60FCC" w:rsidP="00E36B0E">
      <w:pPr>
        <w:pStyle w:val="ListParagraph"/>
        <w:numPr>
          <w:ilvl w:val="0"/>
          <w:numId w:val="4"/>
        </w:numPr>
        <w:spacing w:before="240" w:line="480" w:lineRule="auto"/>
        <w:ind w:left="0" w:firstLine="720"/>
        <w:jc w:val="both"/>
      </w:pPr>
      <w:r w:rsidRPr="002F13BF">
        <w:lastRenderedPageBreak/>
        <w:t xml:space="preserve">Payment of reasonable attorneys’ fees, pursuant </w:t>
      </w:r>
      <w:r w:rsidRPr="00EA0D35">
        <w:t xml:space="preserve">to </w:t>
      </w:r>
      <w:bookmarkStart w:id="47" w:name="dabmci_ab621885b4cf40dd8c188d4d4b405592"/>
      <w:r w:rsidRPr="00616627">
        <w:t>42 U.S.C. § 12205</w:t>
      </w:r>
      <w:bookmarkEnd w:id="47"/>
      <w:r w:rsidRPr="00EA0D35">
        <w:t xml:space="preserve"> and </w:t>
      </w:r>
      <w:bookmarkStart w:id="48" w:name="dabmci_10ac79fda0ad463b8573e7159465ca3e"/>
      <w:r w:rsidRPr="00616627">
        <w:t>28 CFR § 36.505</w:t>
      </w:r>
      <w:bookmarkEnd w:id="48"/>
      <w:r w:rsidRPr="00EA0D35">
        <w:t>, including costs of monitoring Defendant’s compliance with the judgment</w:t>
      </w:r>
      <w:r>
        <w:t>;</w:t>
      </w:r>
      <w:r>
        <w:rPr>
          <w:rStyle w:val="FootnoteReference"/>
        </w:rPr>
        <w:footnoteReference w:id="61"/>
      </w:r>
    </w:p>
    <w:p w14:paraId="0E05AACC" w14:textId="33A66CB8" w:rsidR="0068794D" w:rsidRDefault="00B60FCC" w:rsidP="00E36B0E">
      <w:pPr>
        <w:pStyle w:val="ListParagraph"/>
        <w:numPr>
          <w:ilvl w:val="0"/>
          <w:numId w:val="4"/>
        </w:numPr>
        <w:spacing w:before="240" w:line="480" w:lineRule="auto"/>
        <w:ind w:left="0" w:firstLine="720"/>
        <w:jc w:val="both"/>
      </w:pPr>
      <w:r>
        <w:t>Whatever other relief the Court deems just, equitable and appropriate; and</w:t>
      </w:r>
    </w:p>
    <w:p w14:paraId="167F4AE9" w14:textId="222832B2" w:rsidR="000C64B8" w:rsidRDefault="00B60FCC" w:rsidP="00E36B0E">
      <w:pPr>
        <w:pStyle w:val="ListParagraph"/>
        <w:numPr>
          <w:ilvl w:val="0"/>
          <w:numId w:val="4"/>
        </w:numPr>
        <w:spacing w:before="240" w:line="480" w:lineRule="auto"/>
        <w:ind w:left="0" w:firstLine="720"/>
        <w:jc w:val="both"/>
      </w:pPr>
      <w:r w:rsidRPr="00CA06FC">
        <w:t xml:space="preserve">An Order retaining jurisdiction over this case until </w:t>
      </w:r>
      <w:r>
        <w:t>Defendant has</w:t>
      </w:r>
      <w:r w:rsidRPr="00CA06FC">
        <w:t xml:space="preserve"> complied with the Court’s Orders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E5D78" w14:paraId="28BA8505" w14:textId="77777777" w:rsidTr="00BA6F3F">
        <w:tc>
          <w:tcPr>
            <w:tcW w:w="4675" w:type="dxa"/>
            <w:vAlign w:val="bottom"/>
          </w:tcPr>
          <w:p w14:paraId="718D6998" w14:textId="4EF09C21" w:rsidR="00CE5D78" w:rsidRDefault="00CE5D78" w:rsidP="00BA6F3F">
            <w:pPr>
              <w:spacing w:line="276" w:lineRule="auto"/>
              <w:rPr>
                <w:bCs/>
              </w:rPr>
            </w:pPr>
            <w:r>
              <w:rPr>
                <w:bCs/>
              </w:rPr>
              <w:t>Dated</w:t>
            </w:r>
            <w:r w:rsidR="009F4EBD">
              <w:rPr>
                <w:bCs/>
              </w:rPr>
              <w:t xml:space="preserve">: </w:t>
            </w:r>
            <w:r w:rsidR="00284DE0">
              <w:rPr>
                <w:bCs/>
              </w:rPr>
              <w:t xml:space="preserve">June </w:t>
            </w:r>
            <w:r w:rsidR="00A378FE">
              <w:rPr>
                <w:bCs/>
              </w:rPr>
              <w:t>14</w:t>
            </w:r>
            <w:r w:rsidR="009F4EBD">
              <w:rPr>
                <w:bCs/>
              </w:rPr>
              <w:t>, 2022</w:t>
            </w:r>
          </w:p>
        </w:tc>
        <w:tc>
          <w:tcPr>
            <w:tcW w:w="4675" w:type="dxa"/>
            <w:tcBorders>
              <w:bottom w:val="single" w:sz="8" w:space="0" w:color="auto"/>
            </w:tcBorders>
            <w:vAlign w:val="bottom"/>
          </w:tcPr>
          <w:p w14:paraId="5918D544" w14:textId="77777777" w:rsidR="00CE5D78" w:rsidRPr="00BD2DAF" w:rsidRDefault="00CE5D78" w:rsidP="00BA6F3F">
            <w:pPr>
              <w:spacing w:line="276" w:lineRule="auto"/>
              <w:rPr>
                <w:bCs/>
                <w:i/>
                <w:iCs/>
              </w:rPr>
            </w:pPr>
            <w:r>
              <w:rPr>
                <w:bCs/>
                <w:i/>
                <w:iCs/>
              </w:rPr>
              <w:t>/s/ Kevin W. Tucker</w:t>
            </w:r>
          </w:p>
        </w:tc>
      </w:tr>
      <w:tr w:rsidR="001F27BC" w14:paraId="4EC17241" w14:textId="77777777" w:rsidTr="00BA6F3F">
        <w:tc>
          <w:tcPr>
            <w:tcW w:w="4675" w:type="dxa"/>
            <w:vAlign w:val="bottom"/>
          </w:tcPr>
          <w:p w14:paraId="168DD933" w14:textId="77777777" w:rsidR="001F27BC" w:rsidRDefault="001F27BC" w:rsidP="001F27BC">
            <w:pPr>
              <w:spacing w:line="276" w:lineRule="auto"/>
              <w:rPr>
                <w:bCs/>
              </w:rPr>
            </w:pPr>
          </w:p>
        </w:tc>
        <w:tc>
          <w:tcPr>
            <w:tcW w:w="4675" w:type="dxa"/>
            <w:tcBorders>
              <w:top w:val="single" w:sz="8" w:space="0" w:color="auto"/>
            </w:tcBorders>
            <w:vAlign w:val="bottom"/>
          </w:tcPr>
          <w:p w14:paraId="5AD23ED6" w14:textId="1FA70772" w:rsidR="001F27BC" w:rsidRDefault="001F27BC" w:rsidP="001F27BC">
            <w:pPr>
              <w:spacing w:line="276" w:lineRule="auto"/>
              <w:rPr>
                <w:bCs/>
              </w:rPr>
            </w:pPr>
            <w:r>
              <w:rPr>
                <w:bCs/>
              </w:rPr>
              <w:t xml:space="preserve">Kevin </w:t>
            </w:r>
            <w:r w:rsidR="00A21BFF">
              <w:rPr>
                <w:bCs/>
              </w:rPr>
              <w:t xml:space="preserve">W. </w:t>
            </w:r>
            <w:r>
              <w:rPr>
                <w:bCs/>
              </w:rPr>
              <w:t>Tucker (He/Him) (PA 312144)</w:t>
            </w:r>
          </w:p>
        </w:tc>
      </w:tr>
      <w:tr w:rsidR="001F27BC" w:rsidRPr="00986B6F" w14:paraId="382EAD7C" w14:textId="77777777" w:rsidTr="00BA6F3F">
        <w:tc>
          <w:tcPr>
            <w:tcW w:w="4675" w:type="dxa"/>
            <w:vAlign w:val="bottom"/>
          </w:tcPr>
          <w:p w14:paraId="6E4911A2" w14:textId="77777777" w:rsidR="001F27BC" w:rsidRDefault="001F27BC" w:rsidP="001F27BC">
            <w:pPr>
              <w:spacing w:line="276" w:lineRule="auto"/>
              <w:rPr>
                <w:bCs/>
              </w:rPr>
            </w:pPr>
          </w:p>
        </w:tc>
        <w:tc>
          <w:tcPr>
            <w:tcW w:w="4675" w:type="dxa"/>
            <w:vAlign w:val="bottom"/>
          </w:tcPr>
          <w:p w14:paraId="3C88FD81" w14:textId="77777777" w:rsidR="001F27BC" w:rsidRDefault="001F27BC" w:rsidP="001F27BC">
            <w:pPr>
              <w:spacing w:line="276" w:lineRule="auto"/>
              <w:rPr>
                <w:bCs/>
              </w:rPr>
            </w:pPr>
            <w:r>
              <w:rPr>
                <w:bCs/>
              </w:rPr>
              <w:t>Kevin J. Abramowicz (He/Him) (PA 320659)</w:t>
            </w:r>
          </w:p>
          <w:p w14:paraId="6E721D2B" w14:textId="77777777" w:rsidR="001F27BC" w:rsidRPr="00A87AE3" w:rsidRDefault="001F27BC" w:rsidP="001F27BC">
            <w:pPr>
              <w:spacing w:line="276" w:lineRule="auto"/>
              <w:rPr>
                <w:bCs/>
                <w:lang w:val="es-ES"/>
              </w:rPr>
            </w:pPr>
            <w:r w:rsidRPr="00A87AE3">
              <w:rPr>
                <w:bCs/>
                <w:lang w:val="es-ES"/>
              </w:rPr>
              <w:t>Chandler Steiger (</w:t>
            </w:r>
            <w:proofErr w:type="spellStart"/>
            <w:r w:rsidRPr="00A87AE3">
              <w:rPr>
                <w:bCs/>
                <w:lang w:val="es-ES"/>
              </w:rPr>
              <w:t>She</w:t>
            </w:r>
            <w:proofErr w:type="spellEnd"/>
            <w:r w:rsidRPr="00A87AE3">
              <w:rPr>
                <w:bCs/>
                <w:lang w:val="es-ES"/>
              </w:rPr>
              <w:t>/</w:t>
            </w:r>
            <w:proofErr w:type="spellStart"/>
            <w:r w:rsidRPr="00A87AE3">
              <w:rPr>
                <w:bCs/>
                <w:lang w:val="es-ES"/>
              </w:rPr>
              <w:t>Her</w:t>
            </w:r>
            <w:proofErr w:type="spellEnd"/>
            <w:r w:rsidRPr="00A87AE3">
              <w:rPr>
                <w:bCs/>
                <w:lang w:val="es-ES"/>
              </w:rPr>
              <w:t>)</w:t>
            </w:r>
            <w:r>
              <w:rPr>
                <w:bCs/>
                <w:lang w:val="es-ES"/>
              </w:rPr>
              <w:t xml:space="preserve"> (PA</w:t>
            </w:r>
            <w:r w:rsidRPr="00A87AE3">
              <w:rPr>
                <w:bCs/>
                <w:lang w:val="es-ES"/>
              </w:rPr>
              <w:t xml:space="preserve"> 328891</w:t>
            </w:r>
            <w:r>
              <w:rPr>
                <w:bCs/>
                <w:lang w:val="es-ES"/>
              </w:rPr>
              <w:t>)</w:t>
            </w:r>
          </w:p>
          <w:p w14:paraId="043674E2" w14:textId="2AD5FCA0" w:rsidR="001F27BC" w:rsidRPr="00986B6F" w:rsidRDefault="001F27BC" w:rsidP="001F27BC">
            <w:pPr>
              <w:spacing w:line="276" w:lineRule="auto"/>
              <w:rPr>
                <w:bCs/>
                <w:lang w:val="es-ES"/>
              </w:rPr>
            </w:pPr>
            <w:r w:rsidRPr="00A87AE3">
              <w:rPr>
                <w:bCs/>
                <w:lang w:val="es-ES"/>
              </w:rPr>
              <w:t>Stephanie Moore (</w:t>
            </w:r>
            <w:proofErr w:type="spellStart"/>
            <w:r w:rsidRPr="00A87AE3">
              <w:rPr>
                <w:bCs/>
                <w:lang w:val="es-ES"/>
              </w:rPr>
              <w:t>She</w:t>
            </w:r>
            <w:proofErr w:type="spellEnd"/>
            <w:r w:rsidRPr="00A87AE3">
              <w:rPr>
                <w:bCs/>
                <w:lang w:val="es-ES"/>
              </w:rPr>
              <w:t>/</w:t>
            </w:r>
            <w:proofErr w:type="spellStart"/>
            <w:r w:rsidRPr="00A87AE3">
              <w:rPr>
                <w:bCs/>
                <w:lang w:val="es-ES"/>
              </w:rPr>
              <w:t>Her</w:t>
            </w:r>
            <w:proofErr w:type="spellEnd"/>
            <w:r w:rsidRPr="00A87AE3">
              <w:rPr>
                <w:bCs/>
                <w:lang w:val="es-ES"/>
              </w:rPr>
              <w:t>)</w:t>
            </w:r>
            <w:r>
              <w:rPr>
                <w:bCs/>
                <w:lang w:val="es-ES"/>
              </w:rPr>
              <w:t xml:space="preserve"> (PA</w:t>
            </w:r>
            <w:r w:rsidRPr="00A87AE3">
              <w:rPr>
                <w:bCs/>
                <w:lang w:val="es-ES"/>
              </w:rPr>
              <w:t xml:space="preserve"> 329447</w:t>
            </w:r>
            <w:r>
              <w:rPr>
                <w:bCs/>
                <w:lang w:val="es-ES"/>
              </w:rPr>
              <w:t>)</w:t>
            </w:r>
          </w:p>
        </w:tc>
      </w:tr>
      <w:tr w:rsidR="001F27BC" w14:paraId="21BC91AB" w14:textId="77777777" w:rsidTr="00BA6F3F">
        <w:tc>
          <w:tcPr>
            <w:tcW w:w="4675" w:type="dxa"/>
            <w:vAlign w:val="bottom"/>
          </w:tcPr>
          <w:p w14:paraId="71C24E67" w14:textId="77777777" w:rsidR="001F27BC" w:rsidRPr="00986B6F" w:rsidRDefault="001F27BC" w:rsidP="001F27BC">
            <w:pPr>
              <w:spacing w:line="276" w:lineRule="auto"/>
              <w:rPr>
                <w:bCs/>
                <w:lang w:val="es-ES"/>
              </w:rPr>
            </w:pPr>
          </w:p>
        </w:tc>
        <w:tc>
          <w:tcPr>
            <w:tcW w:w="4675" w:type="dxa"/>
            <w:vAlign w:val="bottom"/>
          </w:tcPr>
          <w:p w14:paraId="4646B5E3" w14:textId="0B0E10CB" w:rsidR="001F27BC" w:rsidRPr="000A07D0" w:rsidRDefault="001F27BC" w:rsidP="001F27BC">
            <w:pPr>
              <w:spacing w:line="276" w:lineRule="auto"/>
              <w:rPr>
                <w:b/>
              </w:rPr>
            </w:pPr>
            <w:r w:rsidRPr="000A07D0">
              <w:rPr>
                <w:b/>
              </w:rPr>
              <w:t>EAST END TRIAL GROUP LLC</w:t>
            </w:r>
          </w:p>
        </w:tc>
      </w:tr>
      <w:tr w:rsidR="001F27BC" w14:paraId="785A4338" w14:textId="77777777" w:rsidTr="00BA6F3F">
        <w:tc>
          <w:tcPr>
            <w:tcW w:w="4675" w:type="dxa"/>
            <w:vAlign w:val="bottom"/>
          </w:tcPr>
          <w:p w14:paraId="5A2D1C8B" w14:textId="77777777" w:rsidR="001F27BC" w:rsidRDefault="001F27BC" w:rsidP="001F27BC">
            <w:pPr>
              <w:spacing w:line="276" w:lineRule="auto"/>
              <w:rPr>
                <w:bCs/>
              </w:rPr>
            </w:pPr>
          </w:p>
        </w:tc>
        <w:tc>
          <w:tcPr>
            <w:tcW w:w="4675" w:type="dxa"/>
            <w:vAlign w:val="bottom"/>
          </w:tcPr>
          <w:p w14:paraId="0FACEF05" w14:textId="5F373AC2" w:rsidR="001F27BC" w:rsidRDefault="001F27BC" w:rsidP="001F27BC">
            <w:pPr>
              <w:spacing w:line="276" w:lineRule="auto"/>
              <w:rPr>
                <w:bCs/>
              </w:rPr>
            </w:pPr>
            <w:r>
              <w:rPr>
                <w:bCs/>
              </w:rPr>
              <w:t>6901 Lynn Way, Suite 215</w:t>
            </w:r>
          </w:p>
        </w:tc>
      </w:tr>
      <w:tr w:rsidR="001F27BC" w14:paraId="23763AA0" w14:textId="77777777" w:rsidTr="00BA6F3F">
        <w:tc>
          <w:tcPr>
            <w:tcW w:w="4675" w:type="dxa"/>
            <w:vAlign w:val="bottom"/>
          </w:tcPr>
          <w:p w14:paraId="39D1A239" w14:textId="77777777" w:rsidR="001F27BC" w:rsidRDefault="001F27BC" w:rsidP="001F27BC">
            <w:pPr>
              <w:spacing w:line="276" w:lineRule="auto"/>
              <w:rPr>
                <w:bCs/>
              </w:rPr>
            </w:pPr>
          </w:p>
        </w:tc>
        <w:tc>
          <w:tcPr>
            <w:tcW w:w="4675" w:type="dxa"/>
            <w:vAlign w:val="bottom"/>
          </w:tcPr>
          <w:p w14:paraId="3A492752" w14:textId="096C94DF" w:rsidR="00A378FE" w:rsidRDefault="001F27BC" w:rsidP="001F27BC">
            <w:pPr>
              <w:spacing w:line="276" w:lineRule="auto"/>
              <w:rPr>
                <w:bCs/>
              </w:rPr>
            </w:pPr>
            <w:r>
              <w:rPr>
                <w:bCs/>
              </w:rPr>
              <w:t>Pittsburgh, PA 15208</w:t>
            </w:r>
          </w:p>
        </w:tc>
      </w:tr>
      <w:tr w:rsidR="001F27BC" w14:paraId="150F009C" w14:textId="77777777" w:rsidTr="00BA6F3F">
        <w:tc>
          <w:tcPr>
            <w:tcW w:w="4675" w:type="dxa"/>
            <w:vAlign w:val="bottom"/>
          </w:tcPr>
          <w:p w14:paraId="006CA79F" w14:textId="77777777" w:rsidR="001F27BC" w:rsidRDefault="001F27BC" w:rsidP="001F27BC">
            <w:pPr>
              <w:spacing w:line="276" w:lineRule="auto"/>
              <w:rPr>
                <w:bCs/>
              </w:rPr>
            </w:pPr>
          </w:p>
        </w:tc>
        <w:tc>
          <w:tcPr>
            <w:tcW w:w="4675" w:type="dxa"/>
            <w:vAlign w:val="bottom"/>
          </w:tcPr>
          <w:p w14:paraId="5968491D" w14:textId="77777777" w:rsidR="001F27BC" w:rsidRDefault="001F27BC" w:rsidP="001F27BC">
            <w:pPr>
              <w:spacing w:line="276" w:lineRule="auto"/>
              <w:rPr>
                <w:bCs/>
              </w:rPr>
            </w:pPr>
            <w:r>
              <w:rPr>
                <w:bCs/>
              </w:rPr>
              <w:t>Tel. (412) 877-5220</w:t>
            </w:r>
          </w:p>
          <w:p w14:paraId="09441CBC" w14:textId="10C9D0DA" w:rsidR="001F27BC" w:rsidRDefault="001F27BC" w:rsidP="001F27BC">
            <w:pPr>
              <w:spacing w:line="276" w:lineRule="auto"/>
              <w:rPr>
                <w:bCs/>
              </w:rPr>
            </w:pPr>
            <w:r>
              <w:rPr>
                <w:bCs/>
              </w:rPr>
              <w:t>Fax. (412) 626-7101</w:t>
            </w:r>
          </w:p>
        </w:tc>
      </w:tr>
      <w:tr w:rsidR="001F27BC" w14:paraId="11727842" w14:textId="77777777" w:rsidTr="00BA6F3F">
        <w:tc>
          <w:tcPr>
            <w:tcW w:w="4675" w:type="dxa"/>
            <w:vAlign w:val="bottom"/>
          </w:tcPr>
          <w:p w14:paraId="7B972FDE" w14:textId="77777777" w:rsidR="001F27BC" w:rsidRDefault="001F27BC" w:rsidP="001F27BC">
            <w:pPr>
              <w:spacing w:line="276" w:lineRule="auto"/>
              <w:rPr>
                <w:bCs/>
              </w:rPr>
            </w:pPr>
          </w:p>
        </w:tc>
        <w:tc>
          <w:tcPr>
            <w:tcW w:w="4675" w:type="dxa"/>
            <w:vAlign w:val="bottom"/>
          </w:tcPr>
          <w:p w14:paraId="16BC0A14" w14:textId="77777777" w:rsidR="001F27BC" w:rsidRDefault="001F27BC" w:rsidP="001F27BC">
            <w:pPr>
              <w:spacing w:line="276" w:lineRule="auto"/>
              <w:rPr>
                <w:bCs/>
              </w:rPr>
            </w:pPr>
            <w:r w:rsidRPr="00CE5D78">
              <w:rPr>
                <w:bCs/>
              </w:rPr>
              <w:t>ktucker@eastendtrialgroup.com</w:t>
            </w:r>
          </w:p>
          <w:p w14:paraId="426AA78D" w14:textId="77777777" w:rsidR="001F27BC" w:rsidRDefault="001F27BC" w:rsidP="001F27BC">
            <w:pPr>
              <w:spacing w:line="276" w:lineRule="auto"/>
              <w:rPr>
                <w:bCs/>
              </w:rPr>
            </w:pPr>
            <w:r>
              <w:rPr>
                <w:bCs/>
              </w:rPr>
              <w:t>kabramowicz@eastendtrialgroup.com</w:t>
            </w:r>
          </w:p>
          <w:p w14:paraId="0D84660A" w14:textId="77777777" w:rsidR="005E60F5" w:rsidRPr="005E60F5" w:rsidRDefault="005E60F5" w:rsidP="005E60F5">
            <w:pPr>
              <w:spacing w:line="276" w:lineRule="auto"/>
              <w:rPr>
                <w:bCs/>
              </w:rPr>
            </w:pPr>
            <w:r w:rsidRPr="005E60F5">
              <w:rPr>
                <w:bCs/>
              </w:rPr>
              <w:t>csteiger@eastendtrialgroup.com</w:t>
            </w:r>
          </w:p>
          <w:p w14:paraId="721457A0" w14:textId="2B4B3DD0" w:rsidR="005E60F5" w:rsidRPr="00893332" w:rsidRDefault="005E60F5" w:rsidP="005E60F5">
            <w:pPr>
              <w:spacing w:line="276" w:lineRule="auto"/>
              <w:rPr>
                <w:bCs/>
              </w:rPr>
            </w:pPr>
            <w:r w:rsidRPr="005E60F5">
              <w:rPr>
                <w:bCs/>
              </w:rPr>
              <w:t>smoore@eastendtrialgroup.com</w:t>
            </w:r>
          </w:p>
        </w:tc>
      </w:tr>
    </w:tbl>
    <w:p w14:paraId="753BC46A" w14:textId="4D83C67F" w:rsidR="00CE5D78" w:rsidRDefault="00CE5D78" w:rsidP="00CE5D78">
      <w:pPr>
        <w:spacing w:before="240" w:line="480" w:lineRule="auto"/>
      </w:pPr>
    </w:p>
    <w:sectPr w:rsidR="00CE5D78">
      <w:footerReference w:type="default" r:id="rId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E5970A" w14:textId="77777777" w:rsidR="00435BB0" w:rsidRDefault="00435BB0" w:rsidP="000C64B8">
      <w:r>
        <w:separator/>
      </w:r>
    </w:p>
  </w:endnote>
  <w:endnote w:type="continuationSeparator" w:id="0">
    <w:p w14:paraId="754FC2E1" w14:textId="77777777" w:rsidR="00435BB0" w:rsidRDefault="00435BB0" w:rsidP="000C64B8">
      <w:r>
        <w:continuationSeparator/>
      </w:r>
    </w:p>
  </w:endnote>
  <w:endnote w:type="continuationNotice" w:id="1">
    <w:p w14:paraId="2258887A" w14:textId="77777777" w:rsidR="00435BB0" w:rsidRDefault="00435B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variable"/>
    <w:sig w:usb0="E0002AEF" w:usb1="C0007841"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8876633"/>
      <w:docPartObj>
        <w:docPartGallery w:val="Page Numbers (Bottom of Page)"/>
        <w:docPartUnique/>
      </w:docPartObj>
    </w:sdtPr>
    <w:sdtEndPr>
      <w:rPr>
        <w:noProof/>
      </w:rPr>
    </w:sdtEndPr>
    <w:sdtContent>
      <w:p w14:paraId="39772870" w14:textId="0B30309D" w:rsidR="009C7A6B" w:rsidRDefault="009C7A6B" w:rsidP="008C5C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60BE21" w14:textId="77777777" w:rsidR="00435BB0" w:rsidRDefault="00435BB0" w:rsidP="000C64B8">
      <w:r>
        <w:separator/>
      </w:r>
    </w:p>
  </w:footnote>
  <w:footnote w:type="continuationSeparator" w:id="0">
    <w:p w14:paraId="74E90230" w14:textId="77777777" w:rsidR="00435BB0" w:rsidRDefault="00435BB0" w:rsidP="000C64B8">
      <w:r>
        <w:continuationSeparator/>
      </w:r>
    </w:p>
  </w:footnote>
  <w:footnote w:type="continuationNotice" w:id="1">
    <w:p w14:paraId="41221942" w14:textId="77777777" w:rsidR="00435BB0" w:rsidRDefault="00435BB0"/>
  </w:footnote>
  <w:footnote w:id="2">
    <w:p w14:paraId="65C46659" w14:textId="3C726900"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w:t>
      </w:r>
      <w:r w:rsidR="00C26BA9" w:rsidRPr="00FE4645">
        <w:rPr>
          <w:sz w:val="24"/>
          <w:szCs w:val="24"/>
        </w:rPr>
        <w:t xml:space="preserve">For semantic convenience, </w:t>
      </w:r>
      <w:r w:rsidRPr="00FE4645">
        <w:rPr>
          <w:sz w:val="24"/>
          <w:szCs w:val="24"/>
        </w:rPr>
        <w:t>Douglass uses the word “blind” to describe individuals who, as a result of a visual impairment, have substantially limited eyesight. This includes individuals who have no vision at all as well as people who have low vision.</w:t>
      </w:r>
    </w:p>
  </w:footnote>
  <w:footnote w:id="3">
    <w:p w14:paraId="61539FA0" w14:textId="0C32F6D3"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42 U.S.C. § 12101(b)(1).</w:t>
      </w:r>
    </w:p>
  </w:footnote>
  <w:footnote w:id="4">
    <w:p w14:paraId="6A9EFFAB" w14:textId="1A33BD9E"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12101(a)(7).</w:t>
      </w:r>
    </w:p>
  </w:footnote>
  <w:footnote w:id="5">
    <w:p w14:paraId="10BC6676" w14:textId="453FDAF7"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sz w:val="24"/>
          <w:szCs w:val="24"/>
          <w:shd w:val="clear" w:color="auto" w:fill="FFFFFF"/>
        </w:rPr>
        <w:t xml:space="preserve">Erickson, W., Lee, C., von Schrader, S., </w:t>
      </w:r>
      <w:r w:rsidRPr="00FE4645">
        <w:rPr>
          <w:i/>
          <w:iCs/>
          <w:sz w:val="24"/>
          <w:szCs w:val="24"/>
          <w:shd w:val="clear" w:color="auto" w:fill="FFFFFF"/>
        </w:rPr>
        <w:t>Disability Statistics from the American Community Survey (ACS)</w:t>
      </w:r>
      <w:r w:rsidR="00592F9B" w:rsidRPr="00FE4645">
        <w:rPr>
          <w:sz w:val="24"/>
          <w:szCs w:val="24"/>
          <w:shd w:val="clear" w:color="auto" w:fill="FFFFFF"/>
        </w:rPr>
        <w:t xml:space="preserve">, </w:t>
      </w:r>
      <w:r w:rsidRPr="00FE4645">
        <w:rPr>
          <w:sz w:val="24"/>
          <w:szCs w:val="24"/>
          <w:shd w:val="clear" w:color="auto" w:fill="FFFFFF"/>
        </w:rPr>
        <w:t xml:space="preserve">Cornell University Yang-Tan Institute (YTI), </w:t>
      </w:r>
      <w:hyperlink r:id="rId1" w:history="1">
        <w:r w:rsidRPr="00FE4645">
          <w:rPr>
            <w:rStyle w:val="Hyperlink"/>
            <w:sz w:val="24"/>
            <w:szCs w:val="24"/>
            <w:shd w:val="clear" w:color="auto" w:fill="FFFFFF"/>
          </w:rPr>
          <w:t>www.disabilitystatistics.org</w:t>
        </w:r>
      </w:hyperlink>
      <w:r w:rsidRPr="00FE4645">
        <w:rPr>
          <w:sz w:val="24"/>
          <w:szCs w:val="24"/>
          <w:shd w:val="clear" w:color="auto" w:fill="FFFFFF"/>
        </w:rPr>
        <w:t xml:space="preserve"> (last accessed </w:t>
      </w:r>
      <w:r w:rsidR="00A378FE">
        <w:rPr>
          <w:sz w:val="24"/>
          <w:szCs w:val="24"/>
          <w:shd w:val="clear" w:color="auto" w:fill="FFFFFF"/>
        </w:rPr>
        <w:t>June 14, 2022</w:t>
      </w:r>
      <w:r w:rsidRPr="00FE4645">
        <w:rPr>
          <w:sz w:val="24"/>
          <w:szCs w:val="24"/>
          <w:shd w:val="clear" w:color="auto" w:fill="FFFFFF"/>
        </w:rPr>
        <w:t>).</w:t>
      </w:r>
    </w:p>
  </w:footnote>
  <w:footnote w:id="6">
    <w:p w14:paraId="4E09BD83" w14:textId="0C028723"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Sharron Rush, </w:t>
      </w:r>
      <w:r w:rsidRPr="00FE4645">
        <w:rPr>
          <w:i/>
          <w:iCs/>
          <w:sz w:val="24"/>
          <w:szCs w:val="24"/>
        </w:rPr>
        <w:t>The Business Case for Digital Accessibility</w:t>
      </w:r>
      <w:r w:rsidR="00DC4ACB" w:rsidRPr="00FE4645">
        <w:rPr>
          <w:sz w:val="24"/>
          <w:szCs w:val="24"/>
        </w:rPr>
        <w:t xml:space="preserve">, W3C Web Accessibility Initiative </w:t>
      </w:r>
      <w:r w:rsidRPr="00FE4645">
        <w:rPr>
          <w:sz w:val="24"/>
          <w:szCs w:val="24"/>
        </w:rPr>
        <w:t xml:space="preserve">(Nov. 9, 2018), </w:t>
      </w:r>
      <w:hyperlink r:id="rId2" w:history="1">
        <w:r w:rsidRPr="00FE4645">
          <w:rPr>
            <w:rStyle w:val="Hyperlink"/>
            <w:sz w:val="24"/>
            <w:szCs w:val="24"/>
          </w:rPr>
          <w:t>https://www.w3.org/WAI/business-case/</w:t>
        </w:r>
      </w:hyperlink>
      <w:r w:rsidRPr="00FE4645">
        <w:rPr>
          <w:sz w:val="24"/>
          <w:szCs w:val="24"/>
        </w:rPr>
        <w:t xml:space="preserve"> (last accessed </w:t>
      </w:r>
      <w:r w:rsidR="00A378FE">
        <w:rPr>
          <w:sz w:val="24"/>
          <w:szCs w:val="24"/>
        </w:rPr>
        <w:t>June 14, 2022</w:t>
      </w:r>
      <w:r w:rsidRPr="00FE4645">
        <w:rPr>
          <w:sz w:val="24"/>
          <w:szCs w:val="24"/>
        </w:rPr>
        <w:t>) (“The global market of people with disabilities is over 1 billion people with a spending power of more than $6 trillion. Accessibility often improves the online experience for all users.”).</w:t>
      </w:r>
    </w:p>
  </w:footnote>
  <w:footnote w:id="7">
    <w:p w14:paraId="41F17160" w14:textId="20262739"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Emily </w:t>
      </w:r>
      <w:proofErr w:type="spellStart"/>
      <w:r w:rsidRPr="00FE4645">
        <w:rPr>
          <w:sz w:val="24"/>
          <w:szCs w:val="24"/>
        </w:rPr>
        <w:t>Heaslip</w:t>
      </w:r>
      <w:proofErr w:type="spellEnd"/>
      <w:r w:rsidRPr="00FE4645">
        <w:rPr>
          <w:sz w:val="24"/>
          <w:szCs w:val="24"/>
        </w:rPr>
        <w:t xml:space="preserve">, </w:t>
      </w:r>
      <w:r w:rsidR="004D0E2B" w:rsidRPr="00FE4645">
        <w:rPr>
          <w:i/>
          <w:iCs/>
          <w:sz w:val="24"/>
          <w:szCs w:val="24"/>
        </w:rPr>
        <w:t>A Guide to Building an Online Store</w:t>
      </w:r>
      <w:r w:rsidR="004D0E2B" w:rsidRPr="00FE4645">
        <w:rPr>
          <w:sz w:val="24"/>
          <w:szCs w:val="24"/>
        </w:rPr>
        <w:t xml:space="preserve">, </w:t>
      </w:r>
      <w:r w:rsidRPr="00FE4645">
        <w:rPr>
          <w:sz w:val="24"/>
          <w:szCs w:val="24"/>
        </w:rPr>
        <w:t xml:space="preserve">U.S. Chamber of Commerce (Sept. 20, 2019), </w:t>
      </w:r>
      <w:hyperlink r:id="rId3" w:history="1">
        <w:r w:rsidRPr="00FE4645">
          <w:rPr>
            <w:rStyle w:val="Hyperlink"/>
            <w:sz w:val="24"/>
            <w:szCs w:val="24"/>
          </w:rPr>
          <w:t>https://www.uschamber.com/co/start/startup/how-to-build-online-stores</w:t>
        </w:r>
      </w:hyperlink>
      <w:r w:rsidRPr="00FE4645">
        <w:rPr>
          <w:sz w:val="24"/>
          <w:szCs w:val="24"/>
        </w:rPr>
        <w:t xml:space="preserve"> (last accessed </w:t>
      </w:r>
      <w:r w:rsidR="00A378FE">
        <w:rPr>
          <w:sz w:val="24"/>
          <w:szCs w:val="24"/>
        </w:rPr>
        <w:t>June 14, 2022</w:t>
      </w:r>
      <w:r w:rsidRPr="00FE4645">
        <w:rPr>
          <w:sz w:val="24"/>
          <w:szCs w:val="24"/>
        </w:rPr>
        <w:t>).</w:t>
      </w:r>
    </w:p>
  </w:footnote>
  <w:footnote w:id="8">
    <w:p w14:paraId="669741EB" w14:textId="20D5F41A"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Emily </w:t>
      </w:r>
      <w:proofErr w:type="spellStart"/>
      <w:r w:rsidRPr="00FE4645">
        <w:rPr>
          <w:sz w:val="24"/>
          <w:szCs w:val="24"/>
        </w:rPr>
        <w:t>Heaslip</w:t>
      </w:r>
      <w:proofErr w:type="spellEnd"/>
      <w:r w:rsidRPr="00FE4645">
        <w:rPr>
          <w:sz w:val="24"/>
          <w:szCs w:val="24"/>
        </w:rPr>
        <w:t xml:space="preserve">, </w:t>
      </w:r>
      <w:r w:rsidR="00AC63C2" w:rsidRPr="00FE4645">
        <w:rPr>
          <w:i/>
          <w:iCs/>
          <w:sz w:val="24"/>
          <w:szCs w:val="24"/>
        </w:rPr>
        <w:t>5 Ways to Optimize Your E-Commerce Site for Mobile Shopping</w:t>
      </w:r>
      <w:r w:rsidRPr="00FE4645">
        <w:rPr>
          <w:sz w:val="24"/>
          <w:szCs w:val="24"/>
        </w:rPr>
        <w:t xml:space="preserve">, </w:t>
      </w:r>
      <w:r w:rsidR="00AC63C2" w:rsidRPr="00FE4645">
        <w:rPr>
          <w:sz w:val="24"/>
          <w:szCs w:val="24"/>
        </w:rPr>
        <w:t xml:space="preserve">U.S. Chamber of Commerce </w:t>
      </w:r>
      <w:r w:rsidRPr="00FE4645">
        <w:rPr>
          <w:sz w:val="24"/>
          <w:szCs w:val="24"/>
        </w:rPr>
        <w:t xml:space="preserve">(Jan. 6, 2020), </w:t>
      </w:r>
      <w:hyperlink r:id="rId4" w:history="1">
        <w:r w:rsidRPr="00FE4645">
          <w:rPr>
            <w:rStyle w:val="Hyperlink"/>
            <w:sz w:val="24"/>
            <w:szCs w:val="24"/>
          </w:rPr>
          <w:t>https://www.uschamber.com/co/run/technology/building-mobile-friendly-ecommerce-websites</w:t>
        </w:r>
      </w:hyperlink>
      <w:r w:rsidRPr="00FE4645">
        <w:rPr>
          <w:sz w:val="24"/>
          <w:szCs w:val="24"/>
        </w:rPr>
        <w:t xml:space="preserve"> (last accessed </w:t>
      </w:r>
      <w:r w:rsidR="00A378FE">
        <w:rPr>
          <w:sz w:val="24"/>
          <w:szCs w:val="24"/>
        </w:rPr>
        <w:t>June 14, 2022</w:t>
      </w:r>
      <w:r w:rsidRPr="00FE4645">
        <w:rPr>
          <w:sz w:val="24"/>
          <w:szCs w:val="24"/>
        </w:rPr>
        <w:t xml:space="preserve">).  </w:t>
      </w:r>
      <w:r w:rsidR="000440F9" w:rsidRPr="00FE4645">
        <w:rPr>
          <w:sz w:val="24"/>
          <w:szCs w:val="24"/>
        </w:rPr>
        <w:t>“</w:t>
      </w:r>
      <w:r w:rsidRPr="00FE4645">
        <w:rPr>
          <w:sz w:val="24"/>
          <w:szCs w:val="24"/>
        </w:rPr>
        <w:t>According to one report, e-commerce is growing 23% each year</w:t>
      </w:r>
      <w:r w:rsidR="000440F9" w:rsidRPr="00FE4645">
        <w:rPr>
          <w:sz w:val="24"/>
          <w:szCs w:val="24"/>
        </w:rPr>
        <w:t>[.]”</w:t>
      </w:r>
      <w:r w:rsidRPr="00FE4645">
        <w:rPr>
          <w:sz w:val="24"/>
          <w:szCs w:val="24"/>
        </w:rPr>
        <w:t xml:space="preserve"> Emily </w:t>
      </w:r>
      <w:proofErr w:type="spellStart"/>
      <w:r w:rsidRPr="00FE4645">
        <w:rPr>
          <w:sz w:val="24"/>
          <w:szCs w:val="24"/>
        </w:rPr>
        <w:t>Heaslip</w:t>
      </w:r>
      <w:proofErr w:type="spellEnd"/>
      <w:r w:rsidRPr="00FE4645">
        <w:rPr>
          <w:sz w:val="24"/>
          <w:szCs w:val="24"/>
        </w:rPr>
        <w:t xml:space="preserve">, </w:t>
      </w:r>
      <w:r w:rsidRPr="00FE4645">
        <w:rPr>
          <w:i/>
          <w:iCs/>
          <w:sz w:val="24"/>
          <w:szCs w:val="24"/>
        </w:rPr>
        <w:t>The Complete Guide to Selling Online</w:t>
      </w:r>
      <w:r w:rsidR="000440F9" w:rsidRPr="00FE4645">
        <w:rPr>
          <w:sz w:val="24"/>
          <w:szCs w:val="24"/>
        </w:rPr>
        <w:t xml:space="preserve">, U.S. Chamber of Commerce </w:t>
      </w:r>
      <w:r w:rsidRPr="00FE4645">
        <w:rPr>
          <w:sz w:val="24"/>
          <w:szCs w:val="24"/>
        </w:rPr>
        <w:t>(Jan. 28, 2020),</w:t>
      </w:r>
      <w:r w:rsidR="000440F9" w:rsidRPr="00FE4645">
        <w:rPr>
          <w:sz w:val="24"/>
          <w:szCs w:val="24"/>
        </w:rPr>
        <w:t xml:space="preserve"> </w:t>
      </w:r>
      <w:hyperlink r:id="rId5" w:history="1">
        <w:r w:rsidRPr="00FE4645">
          <w:rPr>
            <w:rStyle w:val="Hyperlink"/>
            <w:sz w:val="24"/>
            <w:szCs w:val="24"/>
          </w:rPr>
          <w:t>https://www.uschamber.com/co/run/technology/small-business-ecommerce-guide</w:t>
        </w:r>
      </w:hyperlink>
      <w:r w:rsidRPr="00FE4645">
        <w:rPr>
          <w:sz w:val="24"/>
          <w:szCs w:val="24"/>
        </w:rPr>
        <w:t xml:space="preserve"> (last accessed </w:t>
      </w:r>
      <w:r w:rsidR="00A378FE">
        <w:rPr>
          <w:sz w:val="24"/>
          <w:szCs w:val="24"/>
        </w:rPr>
        <w:t>June 14, 2022</w:t>
      </w:r>
      <w:r w:rsidRPr="00FE4645">
        <w:rPr>
          <w:sz w:val="24"/>
          <w:szCs w:val="24"/>
        </w:rPr>
        <w:t>).</w:t>
      </w:r>
    </w:p>
  </w:footnote>
  <w:footnote w:id="9">
    <w:p w14:paraId="59F783ED" w14:textId="31C525F0"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w:t>
      </w:r>
      <w:r w:rsidRPr="00FE4645">
        <w:rPr>
          <w:i/>
          <w:iCs/>
          <w:sz w:val="24"/>
          <w:szCs w:val="24"/>
        </w:rPr>
        <w:t>National Disability Policy: A Progress Report</w:t>
      </w:r>
      <w:r w:rsidR="00A60CA8" w:rsidRPr="00FE4645">
        <w:rPr>
          <w:sz w:val="24"/>
          <w:szCs w:val="24"/>
        </w:rPr>
        <w:t xml:space="preserve">, </w:t>
      </w:r>
      <w:proofErr w:type="spellStart"/>
      <w:r w:rsidR="00A60CA8" w:rsidRPr="00FE4645">
        <w:rPr>
          <w:sz w:val="24"/>
          <w:szCs w:val="24"/>
        </w:rPr>
        <w:t>Nat’l</w:t>
      </w:r>
      <w:proofErr w:type="spellEnd"/>
      <w:r w:rsidR="00A60CA8" w:rsidRPr="00FE4645">
        <w:rPr>
          <w:sz w:val="24"/>
          <w:szCs w:val="24"/>
        </w:rPr>
        <w:t xml:space="preserve"> Council on Disability </w:t>
      </w:r>
      <w:r w:rsidRPr="00FE4645">
        <w:rPr>
          <w:sz w:val="24"/>
          <w:szCs w:val="24"/>
        </w:rPr>
        <w:t xml:space="preserve">(Oct. 7, 2016), </w:t>
      </w:r>
      <w:hyperlink r:id="rId6" w:history="1">
        <w:r w:rsidRPr="00FE4645">
          <w:rPr>
            <w:rStyle w:val="Hyperlink"/>
            <w:sz w:val="24"/>
            <w:szCs w:val="24"/>
          </w:rPr>
          <w:t>https://ncd.gov/sites/default/files/NCD_ProgressReport_ES_508.pdf</w:t>
        </w:r>
      </w:hyperlink>
      <w:r w:rsidRPr="00FE4645">
        <w:rPr>
          <w:sz w:val="24"/>
          <w:szCs w:val="24"/>
        </w:rPr>
        <w:t xml:space="preserve"> (last accessed </w:t>
      </w:r>
      <w:r w:rsidR="00A378FE">
        <w:rPr>
          <w:sz w:val="24"/>
          <w:szCs w:val="24"/>
        </w:rPr>
        <w:t>June 14, 2022</w:t>
      </w:r>
      <w:r w:rsidRPr="00FE4645">
        <w:rPr>
          <w:sz w:val="24"/>
          <w:szCs w:val="24"/>
        </w:rPr>
        <w:t>).</w:t>
      </w:r>
    </w:p>
  </w:footnote>
  <w:footnote w:id="10">
    <w:p w14:paraId="078D0F17" w14:textId="11B62746"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Comment from disability rights organizations to DOJ Supplemental Advance Notice of Proposed Rulemaking “Nondiscrimination on the Basis of Disability; Accessibility of Web Information and Services of State and Local Government Entities,” C RT Docket No 128, RIN 119 -AA65, </w:t>
      </w:r>
      <w:proofErr w:type="gramStart"/>
      <w:r w:rsidRPr="00FE4645">
        <w:rPr>
          <w:sz w:val="24"/>
          <w:szCs w:val="24"/>
        </w:rPr>
        <w:t>Answer</w:t>
      </w:r>
      <w:proofErr w:type="gramEnd"/>
      <w:r w:rsidRPr="00FE4645">
        <w:rPr>
          <w:sz w:val="24"/>
          <w:szCs w:val="24"/>
        </w:rPr>
        <w:t xml:space="preserve"> 57 (October 7, 2016) (citations omitted).</w:t>
      </w:r>
    </w:p>
  </w:footnote>
  <w:footnote w:id="11">
    <w:p w14:paraId="49889FB9" w14:textId="76D0CDDE"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These factors often lead disabled individuals to abandon the process of purchasing items online after they begin.  Kasey </w:t>
      </w:r>
      <w:proofErr w:type="spellStart"/>
      <w:r w:rsidRPr="00FE4645">
        <w:rPr>
          <w:sz w:val="24"/>
          <w:szCs w:val="24"/>
        </w:rPr>
        <w:t>Wehrum</w:t>
      </w:r>
      <w:proofErr w:type="spellEnd"/>
      <w:r w:rsidRPr="00FE4645">
        <w:rPr>
          <w:sz w:val="24"/>
          <w:szCs w:val="24"/>
        </w:rPr>
        <w:t xml:space="preserve">, </w:t>
      </w:r>
      <w:r w:rsidRPr="00FE4645">
        <w:rPr>
          <w:i/>
          <w:iCs/>
          <w:sz w:val="24"/>
          <w:szCs w:val="24"/>
        </w:rPr>
        <w:t>Your Website is Scaring Customers Away. 5 Easy Ways to Fix It</w:t>
      </w:r>
      <w:r w:rsidR="00842CFE" w:rsidRPr="00FE4645">
        <w:rPr>
          <w:i/>
          <w:iCs/>
          <w:sz w:val="24"/>
          <w:szCs w:val="24"/>
        </w:rPr>
        <w:t>.</w:t>
      </w:r>
      <w:r w:rsidR="00842CFE" w:rsidRPr="00FE4645">
        <w:rPr>
          <w:sz w:val="24"/>
          <w:szCs w:val="24"/>
        </w:rPr>
        <w:t>,</w:t>
      </w:r>
      <w:r w:rsidRPr="00FE4645">
        <w:rPr>
          <w:sz w:val="24"/>
          <w:szCs w:val="24"/>
        </w:rPr>
        <w:t xml:space="preserve"> </w:t>
      </w:r>
      <w:r w:rsidR="00842CFE" w:rsidRPr="00FE4645">
        <w:rPr>
          <w:sz w:val="24"/>
          <w:szCs w:val="24"/>
        </w:rPr>
        <w:t xml:space="preserve">Inc. Mag. </w:t>
      </w:r>
      <w:r w:rsidRPr="00FE4645">
        <w:rPr>
          <w:sz w:val="24"/>
          <w:szCs w:val="24"/>
        </w:rPr>
        <w:t xml:space="preserve">(Jan. 2014), </w:t>
      </w:r>
      <w:hyperlink r:id="rId7" w:history="1">
        <w:r w:rsidRPr="00FE4645">
          <w:rPr>
            <w:rStyle w:val="Hyperlink"/>
            <w:sz w:val="24"/>
            <w:szCs w:val="24"/>
          </w:rPr>
          <w:t>https://www.inc.com/magazine/201312/kasey-wehrum/how-to-get-online-customers-to-complete-purchase.html</w:t>
        </w:r>
      </w:hyperlink>
      <w:r w:rsidRPr="00FE4645">
        <w:rPr>
          <w:sz w:val="24"/>
          <w:szCs w:val="24"/>
        </w:rPr>
        <w:t xml:space="preserve"> (last accessed </w:t>
      </w:r>
      <w:r w:rsidR="00A378FE">
        <w:rPr>
          <w:sz w:val="24"/>
          <w:szCs w:val="24"/>
        </w:rPr>
        <w:t>June 14, 2022</w:t>
      </w:r>
      <w:r w:rsidRPr="00FE4645">
        <w:rPr>
          <w:sz w:val="24"/>
          <w:szCs w:val="24"/>
        </w:rPr>
        <w:t>) (documenting the most common causes of shopping cart abandonment, including: “Your Checkout button is hard to find[,]” “Shoppers question the safety of their personal info[,]” and “Getting through the checkout process takes multiple clicks.”).</w:t>
      </w:r>
    </w:p>
  </w:footnote>
  <w:footnote w:id="12">
    <w:p w14:paraId="1AE2CCC2" w14:textId="60F2F4C9"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iCs/>
          <w:sz w:val="24"/>
          <w:szCs w:val="24"/>
        </w:rPr>
        <w:t>See Gniewkowski v. Lettuce Entertain You Enters</w:t>
      </w:r>
      <w:r w:rsidR="00863C45" w:rsidRPr="00FE4645">
        <w:rPr>
          <w:i/>
          <w:iCs/>
          <w:sz w:val="24"/>
          <w:szCs w:val="24"/>
        </w:rPr>
        <w:t>.</w:t>
      </w:r>
      <w:r w:rsidRPr="00FE4645">
        <w:rPr>
          <w:sz w:val="24"/>
          <w:szCs w:val="24"/>
        </w:rPr>
        <w:t>, No. 2:16-cv-1898-AJS, Order, ECF 123 (W.D. Pa Apr. 25, 2017)</w:t>
      </w:r>
      <w:r w:rsidR="00863C45" w:rsidRPr="00FE4645">
        <w:rPr>
          <w:sz w:val="24"/>
          <w:szCs w:val="24"/>
        </w:rPr>
        <w:t>,</w:t>
      </w:r>
      <w:r w:rsidRPr="00FE4645">
        <w:rPr>
          <w:sz w:val="24"/>
          <w:szCs w:val="24"/>
        </w:rPr>
        <w:t xml:space="preserve"> </w:t>
      </w:r>
      <w:r w:rsidRPr="00FE4645">
        <w:rPr>
          <w:i/>
          <w:iCs/>
          <w:sz w:val="24"/>
          <w:szCs w:val="24"/>
        </w:rPr>
        <w:t>clarified by Order of Court</w:t>
      </w:r>
      <w:r w:rsidRPr="00FE4645">
        <w:rPr>
          <w:sz w:val="24"/>
          <w:szCs w:val="24"/>
        </w:rPr>
        <w:t>, ECF 169 (W.D. Pa. June 22, 2017) (Judge Schwab) (</w:t>
      </w:r>
      <w:r w:rsidRPr="00FE4645">
        <w:rPr>
          <w:i/>
          <w:iCs/>
          <w:sz w:val="24"/>
          <w:szCs w:val="24"/>
        </w:rPr>
        <w:t>citing Zippo Mfg. Co. v. Zippo Dot Com, Inc</w:t>
      </w:r>
      <w:r w:rsidRPr="00FE4645">
        <w:rPr>
          <w:sz w:val="24"/>
          <w:szCs w:val="24"/>
        </w:rPr>
        <w:t>., 952 F.</w:t>
      </w:r>
      <w:r w:rsidR="000D05D9" w:rsidRPr="00FE4645">
        <w:rPr>
          <w:sz w:val="24"/>
          <w:szCs w:val="24"/>
        </w:rPr>
        <w:t xml:space="preserve"> </w:t>
      </w:r>
      <w:r w:rsidRPr="00FE4645">
        <w:rPr>
          <w:sz w:val="24"/>
          <w:szCs w:val="24"/>
        </w:rPr>
        <w:t>Supp. 1119 (W.D. Pa. 1997) (exercising specific personal jurisdiction over forum plaintiff’s website accessibility claims against out-of-forum hotel operator)</w:t>
      </w:r>
      <w:r w:rsidR="00863C45" w:rsidRPr="00FE4645">
        <w:rPr>
          <w:sz w:val="24"/>
          <w:szCs w:val="24"/>
        </w:rPr>
        <w:t>)</w:t>
      </w:r>
      <w:r w:rsidRPr="00FE4645">
        <w:rPr>
          <w:sz w:val="24"/>
          <w:szCs w:val="24"/>
        </w:rPr>
        <w:t xml:space="preserve">; </w:t>
      </w:r>
      <w:r w:rsidRPr="00FE4645">
        <w:rPr>
          <w:i/>
          <w:iCs/>
          <w:sz w:val="24"/>
          <w:szCs w:val="24"/>
        </w:rPr>
        <w:t xml:space="preserve">Law School Admission Council, Inc. v. </w:t>
      </w:r>
      <w:proofErr w:type="spellStart"/>
      <w:r w:rsidRPr="00FE4645">
        <w:rPr>
          <w:i/>
          <w:iCs/>
          <w:sz w:val="24"/>
          <w:szCs w:val="24"/>
        </w:rPr>
        <w:t>Tatro</w:t>
      </w:r>
      <w:proofErr w:type="spellEnd"/>
      <w:r w:rsidRPr="00FE4645">
        <w:rPr>
          <w:sz w:val="24"/>
          <w:szCs w:val="24"/>
        </w:rPr>
        <w:t>, 153 F.</w:t>
      </w:r>
      <w:r w:rsidR="000D05D9" w:rsidRPr="00FE4645">
        <w:rPr>
          <w:sz w:val="24"/>
          <w:szCs w:val="24"/>
        </w:rPr>
        <w:t xml:space="preserve"> </w:t>
      </w:r>
      <w:r w:rsidRPr="00FE4645">
        <w:rPr>
          <w:sz w:val="24"/>
          <w:szCs w:val="24"/>
        </w:rPr>
        <w:t>Supp.</w:t>
      </w:r>
      <w:r w:rsidR="000D05D9" w:rsidRPr="00FE4645">
        <w:rPr>
          <w:sz w:val="24"/>
          <w:szCs w:val="24"/>
        </w:rPr>
        <w:t xml:space="preserve"> </w:t>
      </w:r>
      <w:r w:rsidRPr="00FE4645">
        <w:rPr>
          <w:sz w:val="24"/>
          <w:szCs w:val="24"/>
        </w:rPr>
        <w:t xml:space="preserve">3d 714, 720-21 (E.D. Pa. 2015) (exercising personal jurisdiction over out-of-forum website operator); </w:t>
      </w:r>
      <w:r w:rsidRPr="00FE4645">
        <w:rPr>
          <w:i/>
          <w:iCs/>
          <w:sz w:val="24"/>
          <w:szCs w:val="24"/>
        </w:rPr>
        <w:t>Access Now Inc. v. Otter Products, LLC</w:t>
      </w:r>
      <w:r w:rsidRPr="00FE4645">
        <w:rPr>
          <w:sz w:val="24"/>
          <w:szCs w:val="24"/>
        </w:rPr>
        <w:t>, 280 F.</w:t>
      </w:r>
      <w:r w:rsidR="000D05D9" w:rsidRPr="00FE4645">
        <w:rPr>
          <w:sz w:val="24"/>
          <w:szCs w:val="24"/>
        </w:rPr>
        <w:t xml:space="preserve"> </w:t>
      </w:r>
      <w:r w:rsidRPr="00FE4645">
        <w:rPr>
          <w:sz w:val="24"/>
          <w:szCs w:val="24"/>
        </w:rPr>
        <w:t>Supp.</w:t>
      </w:r>
      <w:r w:rsidR="000D05D9" w:rsidRPr="00FE4645">
        <w:rPr>
          <w:sz w:val="24"/>
          <w:szCs w:val="24"/>
        </w:rPr>
        <w:t xml:space="preserve"> </w:t>
      </w:r>
      <w:r w:rsidRPr="00FE4645">
        <w:rPr>
          <w:sz w:val="24"/>
          <w:szCs w:val="24"/>
        </w:rPr>
        <w:t xml:space="preserve">3d 287 (D. Mass. 2017) (exercising personal jurisdiction over forum plaintiff’s website accessibility claims against out-of-forum website operator); </w:t>
      </w:r>
      <w:r w:rsidRPr="00FE4645">
        <w:rPr>
          <w:i/>
          <w:iCs/>
          <w:sz w:val="24"/>
          <w:szCs w:val="24"/>
        </w:rPr>
        <w:t>Access Now, Inc. v. Sportswear, Inc</w:t>
      </w:r>
      <w:r w:rsidRPr="00FE4645">
        <w:rPr>
          <w:sz w:val="24"/>
          <w:szCs w:val="24"/>
        </w:rPr>
        <w:t>., 298 F.</w:t>
      </w:r>
      <w:r w:rsidR="000D05D9" w:rsidRPr="00FE4645">
        <w:rPr>
          <w:sz w:val="24"/>
          <w:szCs w:val="24"/>
        </w:rPr>
        <w:t xml:space="preserve"> </w:t>
      </w:r>
      <w:r w:rsidRPr="00FE4645">
        <w:rPr>
          <w:sz w:val="24"/>
          <w:szCs w:val="24"/>
        </w:rPr>
        <w:t>Supp.</w:t>
      </w:r>
      <w:r w:rsidR="000D05D9" w:rsidRPr="00FE4645">
        <w:rPr>
          <w:sz w:val="24"/>
          <w:szCs w:val="24"/>
        </w:rPr>
        <w:t xml:space="preserve"> </w:t>
      </w:r>
      <w:r w:rsidRPr="00FE4645">
        <w:rPr>
          <w:sz w:val="24"/>
          <w:szCs w:val="24"/>
        </w:rPr>
        <w:t>3d 296 (D. Mass. 2018) (same).</w:t>
      </w:r>
    </w:p>
  </w:footnote>
  <w:footnote w:id="13">
    <w:p w14:paraId="4931D814" w14:textId="354F16E4" w:rsidR="00BE1BC5" w:rsidRPr="00FE4645" w:rsidRDefault="00BE1BC5" w:rsidP="00BE1BC5">
      <w:pPr>
        <w:pStyle w:val="FootnoteText"/>
        <w:jc w:val="both"/>
        <w:rPr>
          <w:sz w:val="24"/>
          <w:szCs w:val="24"/>
        </w:rPr>
      </w:pPr>
      <w:r w:rsidRPr="00FE4645">
        <w:rPr>
          <w:rStyle w:val="FootnoteReference"/>
          <w:sz w:val="24"/>
          <w:szCs w:val="24"/>
        </w:rPr>
        <w:footnoteRef/>
      </w:r>
      <w:r w:rsidRPr="00FE4645">
        <w:rPr>
          <w:sz w:val="24"/>
          <w:szCs w:val="24"/>
        </w:rPr>
        <w:t xml:space="preserve"> Crunchbase, </w:t>
      </w:r>
      <w:r w:rsidR="00FE4645" w:rsidRPr="00FE4645">
        <w:rPr>
          <w:i/>
          <w:iCs/>
          <w:sz w:val="24"/>
          <w:szCs w:val="24"/>
        </w:rPr>
        <w:t>Oreo</w:t>
      </w:r>
      <w:r w:rsidRPr="00FE4645">
        <w:rPr>
          <w:sz w:val="24"/>
          <w:szCs w:val="24"/>
        </w:rPr>
        <w:t>, available at</w:t>
      </w:r>
    </w:p>
    <w:p w14:paraId="183B6663" w14:textId="39E8CDC6" w:rsidR="00BE1BC5" w:rsidRPr="00FE4645" w:rsidRDefault="00435BB0" w:rsidP="00BE1BC5">
      <w:pPr>
        <w:pStyle w:val="FootnoteText"/>
        <w:jc w:val="both"/>
        <w:rPr>
          <w:sz w:val="24"/>
          <w:szCs w:val="24"/>
        </w:rPr>
      </w:pPr>
      <w:hyperlink r:id="rId8" w:history="1">
        <w:r w:rsidR="00FE4645" w:rsidRPr="00FE4645">
          <w:rPr>
            <w:rStyle w:val="Hyperlink"/>
            <w:sz w:val="24"/>
            <w:szCs w:val="24"/>
          </w:rPr>
          <w:t>https://www.crunchbase.com/organization/oreo/technology</w:t>
        </w:r>
      </w:hyperlink>
      <w:r w:rsidR="00FE4645" w:rsidRPr="00FE4645">
        <w:rPr>
          <w:sz w:val="24"/>
          <w:szCs w:val="24"/>
        </w:rPr>
        <w:t xml:space="preserve"> </w:t>
      </w:r>
      <w:r w:rsidR="00BE1BC5" w:rsidRPr="00FE4645">
        <w:rPr>
          <w:sz w:val="24"/>
          <w:szCs w:val="24"/>
        </w:rPr>
        <w:t xml:space="preserve">(last visited </w:t>
      </w:r>
      <w:r w:rsidR="00A378FE">
        <w:rPr>
          <w:sz w:val="24"/>
          <w:szCs w:val="24"/>
        </w:rPr>
        <w:t>June 14, 2022</w:t>
      </w:r>
      <w:r w:rsidR="00BE1BC5" w:rsidRPr="00FE4645">
        <w:rPr>
          <w:sz w:val="24"/>
          <w:szCs w:val="24"/>
        </w:rPr>
        <w:t>).</w:t>
      </w:r>
    </w:p>
  </w:footnote>
  <w:footnote w:id="14">
    <w:p w14:paraId="5F5124A8" w14:textId="6C326F76" w:rsidR="00FE4645" w:rsidRPr="00FE4645" w:rsidRDefault="00FE4645">
      <w:pPr>
        <w:pStyle w:val="FootnoteText"/>
        <w:rPr>
          <w:i/>
          <w:iCs/>
          <w:sz w:val="24"/>
          <w:szCs w:val="24"/>
        </w:rPr>
      </w:pPr>
      <w:r w:rsidRPr="00FE4645">
        <w:rPr>
          <w:rStyle w:val="FootnoteReference"/>
          <w:sz w:val="24"/>
          <w:szCs w:val="24"/>
        </w:rPr>
        <w:footnoteRef/>
      </w:r>
      <w:r w:rsidRPr="00FE4645">
        <w:rPr>
          <w:sz w:val="24"/>
          <w:szCs w:val="24"/>
        </w:rPr>
        <w:t xml:space="preserve"> </w:t>
      </w:r>
      <w:r w:rsidRPr="00FE4645">
        <w:rPr>
          <w:i/>
          <w:iCs/>
          <w:sz w:val="24"/>
          <w:szCs w:val="24"/>
        </w:rPr>
        <w:t>Id.</w:t>
      </w:r>
    </w:p>
  </w:footnote>
  <w:footnote w:id="15">
    <w:p w14:paraId="12BA716A" w14:textId="77777777" w:rsidR="00BE1BC5" w:rsidRPr="00FE4645" w:rsidRDefault="00BE1BC5" w:rsidP="00BE1BC5">
      <w:pPr>
        <w:pStyle w:val="FootnoteText"/>
        <w:jc w:val="both"/>
        <w:rPr>
          <w:sz w:val="24"/>
          <w:szCs w:val="24"/>
        </w:rPr>
      </w:pPr>
      <w:r w:rsidRPr="00FE4645">
        <w:rPr>
          <w:rStyle w:val="FootnoteReference"/>
          <w:sz w:val="24"/>
          <w:szCs w:val="24"/>
        </w:rPr>
        <w:footnoteRef/>
      </w:r>
      <w:r w:rsidRPr="00FE4645">
        <w:rPr>
          <w:sz w:val="24"/>
          <w:szCs w:val="24"/>
        </w:rPr>
        <w:t xml:space="preserve"> Compare United States Census Bureau, </w:t>
      </w:r>
      <w:r w:rsidRPr="00FE4645">
        <w:rPr>
          <w:i/>
          <w:iCs/>
          <w:sz w:val="24"/>
          <w:szCs w:val="24"/>
        </w:rPr>
        <w:t>QuickFacts Pennsylvania</w:t>
      </w:r>
      <w:r w:rsidRPr="00FE4645">
        <w:rPr>
          <w:sz w:val="24"/>
          <w:szCs w:val="24"/>
        </w:rPr>
        <w:t>, available at</w:t>
      </w:r>
    </w:p>
    <w:p w14:paraId="5D6B193B" w14:textId="14F52C4D" w:rsidR="00BE1BC5" w:rsidRPr="00FE4645" w:rsidRDefault="00435BB0" w:rsidP="00BE1BC5">
      <w:pPr>
        <w:pStyle w:val="FootnoteText"/>
        <w:jc w:val="both"/>
        <w:rPr>
          <w:sz w:val="24"/>
          <w:szCs w:val="24"/>
        </w:rPr>
      </w:pPr>
      <w:hyperlink r:id="rId9" w:history="1">
        <w:r w:rsidR="00BE1BC5" w:rsidRPr="00FE4645">
          <w:rPr>
            <w:rStyle w:val="Hyperlink"/>
            <w:sz w:val="24"/>
            <w:szCs w:val="24"/>
          </w:rPr>
          <w:t>https://www.census.gov/quickfacts/fact/table/PA#</w:t>
        </w:r>
      </w:hyperlink>
      <w:r w:rsidR="00BE1BC5" w:rsidRPr="00FE4645">
        <w:rPr>
          <w:sz w:val="24"/>
          <w:szCs w:val="24"/>
        </w:rPr>
        <w:t xml:space="preserve"> (last visited </w:t>
      </w:r>
      <w:r w:rsidR="00A378FE">
        <w:rPr>
          <w:sz w:val="24"/>
          <w:szCs w:val="24"/>
        </w:rPr>
        <w:t>June 14, 2022</w:t>
      </w:r>
      <w:r w:rsidR="00BE1BC5" w:rsidRPr="00FE4645">
        <w:rPr>
          <w:sz w:val="24"/>
          <w:szCs w:val="24"/>
        </w:rPr>
        <w:t xml:space="preserve">) with United States Census Bureau, </w:t>
      </w:r>
      <w:r w:rsidR="00BE1BC5" w:rsidRPr="00FE4645">
        <w:rPr>
          <w:i/>
          <w:iCs/>
          <w:sz w:val="24"/>
          <w:szCs w:val="24"/>
        </w:rPr>
        <w:t>QuickFacts United States</w:t>
      </w:r>
      <w:r w:rsidR="00BE1BC5" w:rsidRPr="00FE4645">
        <w:rPr>
          <w:sz w:val="24"/>
          <w:szCs w:val="24"/>
        </w:rPr>
        <w:t>, available at</w:t>
      </w:r>
    </w:p>
    <w:p w14:paraId="078AA306" w14:textId="557A2802" w:rsidR="00BE1BC5" w:rsidRPr="00FE4645" w:rsidRDefault="00435BB0" w:rsidP="00BE1BC5">
      <w:pPr>
        <w:pStyle w:val="FootnoteText"/>
        <w:jc w:val="both"/>
        <w:rPr>
          <w:sz w:val="24"/>
          <w:szCs w:val="24"/>
        </w:rPr>
      </w:pPr>
      <w:hyperlink r:id="rId10" w:history="1">
        <w:r w:rsidR="00BE1BC5" w:rsidRPr="00FE4645">
          <w:rPr>
            <w:rStyle w:val="Hyperlink"/>
            <w:sz w:val="24"/>
            <w:szCs w:val="24"/>
          </w:rPr>
          <w:t>https://www.census.gov/quickfacts/fact/table/US/PST045221</w:t>
        </w:r>
      </w:hyperlink>
      <w:r w:rsidR="00BE1BC5" w:rsidRPr="00FE4645">
        <w:rPr>
          <w:sz w:val="24"/>
          <w:szCs w:val="24"/>
        </w:rPr>
        <w:t xml:space="preserve"> (last visited </w:t>
      </w:r>
      <w:r w:rsidR="00A378FE">
        <w:rPr>
          <w:sz w:val="24"/>
          <w:szCs w:val="24"/>
        </w:rPr>
        <w:t>June 14, 2022</w:t>
      </w:r>
      <w:r w:rsidR="00BE1BC5" w:rsidRPr="00FE4645">
        <w:rPr>
          <w:sz w:val="24"/>
          <w:szCs w:val="24"/>
        </w:rPr>
        <w:t>).</w:t>
      </w:r>
    </w:p>
  </w:footnote>
  <w:footnote w:id="16">
    <w:p w14:paraId="746091DC" w14:textId="0A7CBA22"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00F96365" w:rsidRPr="00FE4645">
        <w:rPr>
          <w:sz w:val="24"/>
          <w:szCs w:val="24"/>
        </w:rPr>
        <w:t xml:space="preserve"> </w:t>
      </w:r>
      <w:r w:rsidR="00EA28C4" w:rsidRPr="00FE4645">
        <w:rPr>
          <w:sz w:val="24"/>
          <w:szCs w:val="24"/>
        </w:rPr>
        <w:t xml:space="preserve">Blair Douglass, </w:t>
      </w:r>
      <w:r w:rsidRPr="00FE4645">
        <w:rPr>
          <w:sz w:val="24"/>
          <w:szCs w:val="24"/>
        </w:rPr>
        <w:t xml:space="preserve">LinkedIn, </w:t>
      </w:r>
      <w:hyperlink r:id="rId11" w:history="1">
        <w:r w:rsidRPr="00FE4645">
          <w:rPr>
            <w:rStyle w:val="Hyperlink"/>
            <w:sz w:val="24"/>
            <w:szCs w:val="24"/>
          </w:rPr>
          <w:t>https://www.linkedin.com/in/blair-douglass-a0700871</w:t>
        </w:r>
      </w:hyperlink>
      <w:r w:rsidRPr="00FE4645">
        <w:rPr>
          <w:sz w:val="24"/>
          <w:szCs w:val="24"/>
        </w:rPr>
        <w:t xml:space="preserve"> (last accessed </w:t>
      </w:r>
      <w:r w:rsidR="00A378FE">
        <w:rPr>
          <w:sz w:val="24"/>
          <w:szCs w:val="24"/>
        </w:rPr>
        <w:t>June 14, 2022</w:t>
      </w:r>
      <w:r w:rsidRPr="00FE4645">
        <w:rPr>
          <w:sz w:val="24"/>
          <w:szCs w:val="24"/>
        </w:rPr>
        <w:t>)</w:t>
      </w:r>
      <w:r w:rsidR="00C9576C" w:rsidRPr="00FE4645">
        <w:rPr>
          <w:sz w:val="24"/>
          <w:szCs w:val="24"/>
        </w:rPr>
        <w:t>.</w:t>
      </w:r>
    </w:p>
  </w:footnote>
  <w:footnote w:id="17">
    <w:p w14:paraId="7DD1ACA1" w14:textId="6E153504"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proofErr w:type="spellStart"/>
      <w:r w:rsidRPr="00FE4645">
        <w:rPr>
          <w:sz w:val="24"/>
          <w:szCs w:val="24"/>
        </w:rPr>
        <w:t>Treshea</w:t>
      </w:r>
      <w:proofErr w:type="spellEnd"/>
      <w:r w:rsidRPr="00FE4645">
        <w:rPr>
          <w:sz w:val="24"/>
          <w:szCs w:val="24"/>
        </w:rPr>
        <w:t xml:space="preserve"> N. Wade, </w:t>
      </w:r>
      <w:r w:rsidRPr="00FE4645">
        <w:rPr>
          <w:i/>
          <w:iCs/>
          <w:sz w:val="24"/>
          <w:szCs w:val="24"/>
        </w:rPr>
        <w:t>Blindness doesn’t keep teen from success</w:t>
      </w:r>
      <w:r w:rsidRPr="00FE4645">
        <w:rPr>
          <w:sz w:val="24"/>
          <w:szCs w:val="24"/>
        </w:rPr>
        <w:t xml:space="preserve">, </w:t>
      </w:r>
      <w:proofErr w:type="spellStart"/>
      <w:r w:rsidRPr="00FE4645">
        <w:rPr>
          <w:sz w:val="24"/>
          <w:szCs w:val="24"/>
        </w:rPr>
        <w:t>Trib</w:t>
      </w:r>
      <w:proofErr w:type="spellEnd"/>
      <w:r w:rsidRPr="00FE4645">
        <w:rPr>
          <w:sz w:val="24"/>
          <w:szCs w:val="24"/>
        </w:rPr>
        <w:t xml:space="preserve"> Total Media (May 30, 2005),</w:t>
      </w:r>
      <w:r w:rsidR="000A28F2" w:rsidRPr="00FE4645">
        <w:rPr>
          <w:sz w:val="24"/>
          <w:szCs w:val="24"/>
        </w:rPr>
        <w:t xml:space="preserve"> </w:t>
      </w:r>
      <w:hyperlink r:id="rId12" w:history="1">
        <w:r w:rsidRPr="00FE4645">
          <w:rPr>
            <w:rStyle w:val="Hyperlink"/>
            <w:sz w:val="24"/>
            <w:szCs w:val="24"/>
          </w:rPr>
          <w:t>https://archive.triblive.com/news/blindness-doesnt-keep-teen-from-success/</w:t>
        </w:r>
      </w:hyperlink>
      <w:r w:rsidRPr="00FE4645">
        <w:rPr>
          <w:sz w:val="24"/>
          <w:szCs w:val="24"/>
        </w:rPr>
        <w:t xml:space="preserve"> (</w:t>
      </w:r>
      <w:r w:rsidR="00F55060" w:rsidRPr="00FE4645">
        <w:rPr>
          <w:sz w:val="24"/>
          <w:szCs w:val="24"/>
        </w:rPr>
        <w:t>last accessed</w:t>
      </w:r>
      <w:r w:rsidRPr="00FE4645">
        <w:rPr>
          <w:sz w:val="24"/>
          <w:szCs w:val="24"/>
        </w:rPr>
        <w:t xml:space="preserve"> </w:t>
      </w:r>
      <w:r w:rsidR="00A378FE">
        <w:rPr>
          <w:sz w:val="24"/>
          <w:szCs w:val="24"/>
        </w:rPr>
        <w:t>June 14, 2022</w:t>
      </w:r>
      <w:r w:rsidRPr="00FE4645">
        <w:rPr>
          <w:sz w:val="24"/>
          <w:szCs w:val="24"/>
        </w:rPr>
        <w:t xml:space="preserve">) (“I am not striving necessarily for perfection, but I just want to do well[.] …Sure I have a disability. But it’s a disability that anyone can readily overcome with a lot of hard work.”); Zak </w:t>
      </w:r>
      <w:proofErr w:type="spellStart"/>
      <w:r w:rsidRPr="00FE4645">
        <w:rPr>
          <w:sz w:val="24"/>
          <w:szCs w:val="24"/>
        </w:rPr>
        <w:t>Koeske</w:t>
      </w:r>
      <w:proofErr w:type="spellEnd"/>
      <w:r w:rsidRPr="00FE4645">
        <w:rPr>
          <w:sz w:val="24"/>
          <w:szCs w:val="24"/>
        </w:rPr>
        <w:t xml:space="preserve">, </w:t>
      </w:r>
      <w:r w:rsidRPr="00FE4645">
        <w:rPr>
          <w:i/>
          <w:iCs/>
          <w:sz w:val="24"/>
          <w:szCs w:val="24"/>
        </w:rPr>
        <w:t>Pitt student aims to rise above stereotype</w:t>
      </w:r>
      <w:r w:rsidRPr="00FE4645">
        <w:rPr>
          <w:sz w:val="24"/>
          <w:szCs w:val="24"/>
        </w:rPr>
        <w:t xml:space="preserve">, Pittsburgh Post-Gazette (July 23, 2009), </w:t>
      </w:r>
      <w:hyperlink r:id="rId13" w:history="1">
        <w:r w:rsidRPr="00FE4645">
          <w:rPr>
            <w:rStyle w:val="Hyperlink"/>
            <w:sz w:val="24"/>
            <w:szCs w:val="24"/>
          </w:rPr>
          <w:t>https://www.post-gazette.com/local/south/2009/07/23/Pitt-student-aims-to-rise-above-stereotype/stories/200907230364</w:t>
        </w:r>
      </w:hyperlink>
      <w:r w:rsidRPr="00FE4645">
        <w:rPr>
          <w:sz w:val="24"/>
          <w:szCs w:val="24"/>
        </w:rPr>
        <w:t xml:space="preserve"> (</w:t>
      </w:r>
      <w:r w:rsidR="00F55060" w:rsidRPr="00FE4645">
        <w:rPr>
          <w:sz w:val="24"/>
          <w:szCs w:val="24"/>
        </w:rPr>
        <w:t>last accessed</w:t>
      </w:r>
      <w:r w:rsidRPr="00FE4645">
        <w:rPr>
          <w:sz w:val="24"/>
          <w:szCs w:val="24"/>
        </w:rPr>
        <w:t xml:space="preserve"> </w:t>
      </w:r>
      <w:r w:rsidR="00A378FE">
        <w:rPr>
          <w:sz w:val="24"/>
          <w:szCs w:val="24"/>
        </w:rPr>
        <w:t>June 14, 2022</w:t>
      </w:r>
      <w:r w:rsidRPr="00FE4645">
        <w:rPr>
          <w:sz w:val="24"/>
          <w:szCs w:val="24"/>
        </w:rPr>
        <w:t>) (“Blindness can't hold you back from doing anything you want to do[.] …Blindness is simply a physical condition. You have to make a few adaptations, but those aren't big enough to affect your ability to do a job competently. …There are always going to be some people who doubt your ability. ... I have no trouble trying to prove them wrong.”)</w:t>
      </w:r>
      <w:r w:rsidR="000A28F2" w:rsidRPr="00FE4645">
        <w:rPr>
          <w:sz w:val="24"/>
          <w:szCs w:val="24"/>
        </w:rPr>
        <w:t>.</w:t>
      </w:r>
    </w:p>
  </w:footnote>
  <w:footnote w:id="18">
    <w:p w14:paraId="56DCBA21" w14:textId="1155A1AB"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Kelly Johnson, </w:t>
      </w:r>
      <w:r w:rsidRPr="00FE4645">
        <w:rPr>
          <w:i/>
          <w:iCs/>
          <w:sz w:val="24"/>
          <w:szCs w:val="24"/>
        </w:rPr>
        <w:t>Testers Standing up for the Title III of the ADA</w:t>
      </w:r>
      <w:r w:rsidRPr="00FE4645">
        <w:rPr>
          <w:sz w:val="24"/>
          <w:szCs w:val="24"/>
        </w:rPr>
        <w:t xml:space="preserve">, 59 Cas. W. Res. L. Rev. 683, 684 (2009), </w:t>
      </w:r>
      <w:hyperlink r:id="rId14" w:history="1">
        <w:r w:rsidRPr="00FE4645">
          <w:rPr>
            <w:rStyle w:val="Hyperlink"/>
            <w:sz w:val="24"/>
            <w:szCs w:val="24"/>
          </w:rPr>
          <w:t>http://scholarlycommons.law.case.edu/caselrev/vol59/iss3/6</w:t>
        </w:r>
      </w:hyperlink>
      <w:r w:rsidRPr="00FE4645">
        <w:rPr>
          <w:sz w:val="24"/>
          <w:szCs w:val="24"/>
        </w:rPr>
        <w:t xml:space="preserve"> (last accessed </w:t>
      </w:r>
      <w:r w:rsidR="00A378FE">
        <w:rPr>
          <w:sz w:val="24"/>
          <w:szCs w:val="24"/>
        </w:rPr>
        <w:t>June 14, 2022</w:t>
      </w:r>
      <w:r w:rsidRPr="00FE4645">
        <w:rPr>
          <w:sz w:val="24"/>
          <w:szCs w:val="24"/>
        </w:rPr>
        <w:t>) (</w:t>
      </w:r>
      <w:r w:rsidRPr="00FE4645">
        <w:rPr>
          <w:i/>
          <w:iCs/>
          <w:sz w:val="24"/>
          <w:szCs w:val="24"/>
        </w:rPr>
        <w:t>citing</w:t>
      </w:r>
      <w:r w:rsidRPr="00FE4645">
        <w:rPr>
          <w:sz w:val="24"/>
          <w:szCs w:val="24"/>
        </w:rPr>
        <w:t xml:space="preserve"> </w:t>
      </w:r>
      <w:r w:rsidRPr="00FE4645">
        <w:rPr>
          <w:rFonts w:eastAsiaTheme="minorHAnsi"/>
          <w:sz w:val="24"/>
          <w:szCs w:val="24"/>
        </w:rPr>
        <w:t>H.R. REP. No. 101-485, pt. 2, at 28-29 (1990)).</w:t>
      </w:r>
    </w:p>
  </w:footnote>
  <w:footnote w:id="19">
    <w:p w14:paraId="6CDD591B" w14:textId="610CBEF9"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w:t>
      </w:r>
      <w:r w:rsidR="003732B0" w:rsidRPr="00FE4645">
        <w:rPr>
          <w:i/>
          <w:iCs/>
          <w:sz w:val="24"/>
          <w:szCs w:val="24"/>
        </w:rPr>
        <w:t>Id.</w:t>
      </w:r>
      <w:r w:rsidRPr="00FE4645">
        <w:rPr>
          <w:sz w:val="24"/>
          <w:szCs w:val="24"/>
        </w:rPr>
        <w:t xml:space="preserve"> (</w:t>
      </w:r>
      <w:r w:rsidRPr="00FE4645">
        <w:rPr>
          <w:i/>
          <w:iCs/>
          <w:sz w:val="24"/>
          <w:szCs w:val="24"/>
        </w:rPr>
        <w:t xml:space="preserve">quoting </w:t>
      </w:r>
      <w:r w:rsidR="003732B0" w:rsidRPr="00FE4645">
        <w:rPr>
          <w:sz w:val="24"/>
          <w:szCs w:val="24"/>
        </w:rPr>
        <w:t>D. R</w:t>
      </w:r>
      <w:r w:rsidRPr="00FE4645">
        <w:rPr>
          <w:sz w:val="24"/>
          <w:szCs w:val="24"/>
        </w:rPr>
        <w:t xml:space="preserve">ussell </w:t>
      </w:r>
      <w:proofErr w:type="spellStart"/>
      <w:r w:rsidRPr="00FE4645">
        <w:rPr>
          <w:sz w:val="24"/>
          <w:szCs w:val="24"/>
        </w:rPr>
        <w:t>Hymas</w:t>
      </w:r>
      <w:proofErr w:type="spellEnd"/>
      <w:r w:rsidRPr="00FE4645">
        <w:rPr>
          <w:sz w:val="24"/>
          <w:szCs w:val="24"/>
        </w:rPr>
        <w:t xml:space="preserve"> &amp; Brett R. Parkinson, Comment, </w:t>
      </w:r>
      <w:r w:rsidRPr="00FE4645">
        <w:rPr>
          <w:i/>
          <w:iCs/>
          <w:sz w:val="24"/>
          <w:szCs w:val="24"/>
        </w:rPr>
        <w:t>Architectural Barriers Under the ADA: An Answer to the Judiciary’s Struggle with Technical Non-Compliance</w:t>
      </w:r>
      <w:r w:rsidRPr="00FE4645">
        <w:rPr>
          <w:sz w:val="24"/>
          <w:szCs w:val="24"/>
        </w:rPr>
        <w:t>, 39 C</w:t>
      </w:r>
      <w:r w:rsidR="003732B0" w:rsidRPr="00FE4645">
        <w:rPr>
          <w:sz w:val="24"/>
          <w:szCs w:val="24"/>
        </w:rPr>
        <w:t>al</w:t>
      </w:r>
      <w:r w:rsidRPr="00FE4645">
        <w:rPr>
          <w:sz w:val="24"/>
          <w:szCs w:val="24"/>
        </w:rPr>
        <w:t>. W. L. R</w:t>
      </w:r>
      <w:r w:rsidR="003732B0" w:rsidRPr="00FE4645">
        <w:rPr>
          <w:sz w:val="24"/>
          <w:szCs w:val="24"/>
        </w:rPr>
        <w:t>ev</w:t>
      </w:r>
      <w:r w:rsidRPr="00FE4645">
        <w:rPr>
          <w:sz w:val="24"/>
          <w:szCs w:val="24"/>
        </w:rPr>
        <w:t xml:space="preserve">. 349, 350 (2003), </w:t>
      </w:r>
    </w:p>
    <w:p w14:paraId="02B047D7" w14:textId="1A2FBE21" w:rsidR="009C7A6B" w:rsidRPr="00FE4645" w:rsidRDefault="00435BB0" w:rsidP="00051F73">
      <w:pPr>
        <w:pStyle w:val="FootnoteText"/>
        <w:jc w:val="both"/>
        <w:rPr>
          <w:sz w:val="24"/>
          <w:szCs w:val="24"/>
        </w:rPr>
      </w:pPr>
      <w:hyperlink r:id="rId15" w:history="1">
        <w:r w:rsidR="009C7A6B" w:rsidRPr="00FE4645">
          <w:rPr>
            <w:rStyle w:val="Hyperlink"/>
            <w:sz w:val="24"/>
            <w:szCs w:val="24"/>
          </w:rPr>
          <w:t>https://scholarlycommons.law.cwsl.edu/cgi/viewcontent.cgi?article=1166&amp;context=cwlr</w:t>
        </w:r>
      </w:hyperlink>
      <w:r w:rsidR="009C7A6B" w:rsidRPr="00FE4645">
        <w:rPr>
          <w:sz w:val="24"/>
          <w:szCs w:val="24"/>
        </w:rPr>
        <w:t xml:space="preserve"> (last accessed </w:t>
      </w:r>
      <w:r w:rsidR="00A378FE">
        <w:rPr>
          <w:sz w:val="24"/>
          <w:szCs w:val="24"/>
        </w:rPr>
        <w:t>June 14, 2022</w:t>
      </w:r>
      <w:r w:rsidR="009C7A6B" w:rsidRPr="00FE4645">
        <w:rPr>
          <w:sz w:val="24"/>
          <w:szCs w:val="24"/>
        </w:rPr>
        <w:t xml:space="preserve">)); </w:t>
      </w:r>
      <w:r w:rsidR="009C7A6B" w:rsidRPr="00FE4645">
        <w:rPr>
          <w:i/>
          <w:iCs/>
          <w:sz w:val="24"/>
          <w:szCs w:val="24"/>
        </w:rPr>
        <w:t>see also</w:t>
      </w:r>
      <w:r w:rsidR="009C7A6B" w:rsidRPr="00FE4645">
        <w:rPr>
          <w:i/>
          <w:sz w:val="24"/>
          <w:szCs w:val="24"/>
        </w:rPr>
        <w:t xml:space="preserve"> </w:t>
      </w:r>
      <w:r w:rsidR="009C7A6B" w:rsidRPr="00FE4645">
        <w:rPr>
          <w:sz w:val="24"/>
          <w:szCs w:val="24"/>
        </w:rPr>
        <w:t>136 C</w:t>
      </w:r>
      <w:r w:rsidR="00F5101F" w:rsidRPr="00FE4645">
        <w:rPr>
          <w:sz w:val="24"/>
          <w:szCs w:val="24"/>
        </w:rPr>
        <w:t>ong</w:t>
      </w:r>
      <w:r w:rsidR="009C7A6B" w:rsidRPr="00FE4645">
        <w:rPr>
          <w:sz w:val="24"/>
          <w:szCs w:val="24"/>
        </w:rPr>
        <w:t>. R</w:t>
      </w:r>
      <w:r w:rsidR="00F5101F" w:rsidRPr="00FE4645">
        <w:rPr>
          <w:sz w:val="24"/>
          <w:szCs w:val="24"/>
        </w:rPr>
        <w:t>ec</w:t>
      </w:r>
      <w:r w:rsidR="009C7A6B" w:rsidRPr="00FE4645">
        <w:rPr>
          <w:sz w:val="24"/>
          <w:szCs w:val="24"/>
        </w:rPr>
        <w:t>. 17,369 (1990) (statement of Sen. Tom Harkin) (discussing how facilities have failed to comply with the ADA by not removing barriers that impede access).</w:t>
      </w:r>
    </w:p>
  </w:footnote>
  <w:footnote w:id="20">
    <w:p w14:paraId="3FC0AD4A" w14:textId="21BECF46"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Johnson</w:t>
      </w:r>
      <w:r w:rsidR="002300C2" w:rsidRPr="00FE4645">
        <w:rPr>
          <w:sz w:val="24"/>
          <w:szCs w:val="24"/>
        </w:rPr>
        <w:t>,</w:t>
      </w:r>
      <w:r w:rsidRPr="00FE4645">
        <w:rPr>
          <w:sz w:val="24"/>
          <w:szCs w:val="24"/>
        </w:rPr>
        <w:t xml:space="preserve"> </w:t>
      </w:r>
      <w:r w:rsidRPr="00FE4645">
        <w:rPr>
          <w:i/>
          <w:iCs/>
          <w:sz w:val="24"/>
          <w:szCs w:val="24"/>
        </w:rPr>
        <w:t xml:space="preserve">supra </w:t>
      </w:r>
      <w:r w:rsidRPr="00FE4645">
        <w:rPr>
          <w:sz w:val="24"/>
          <w:szCs w:val="24"/>
        </w:rPr>
        <w:t>note 1</w:t>
      </w:r>
      <w:r w:rsidR="002300C2" w:rsidRPr="00FE4645">
        <w:rPr>
          <w:sz w:val="24"/>
          <w:szCs w:val="24"/>
        </w:rPr>
        <w:t>4</w:t>
      </w:r>
      <w:r w:rsidRPr="00FE4645">
        <w:rPr>
          <w:sz w:val="24"/>
          <w:szCs w:val="24"/>
        </w:rPr>
        <w:t xml:space="preserve"> (</w:t>
      </w:r>
      <w:r w:rsidRPr="00FE4645">
        <w:rPr>
          <w:i/>
          <w:iCs/>
          <w:sz w:val="24"/>
          <w:szCs w:val="24"/>
        </w:rPr>
        <w:t>citing</w:t>
      </w:r>
      <w:r w:rsidRPr="00FE4645">
        <w:rPr>
          <w:sz w:val="24"/>
          <w:szCs w:val="24"/>
        </w:rPr>
        <w:t xml:space="preserve"> Elizabeth </w:t>
      </w:r>
      <w:proofErr w:type="spellStart"/>
      <w:r w:rsidRPr="00FE4645">
        <w:rPr>
          <w:sz w:val="24"/>
          <w:szCs w:val="24"/>
        </w:rPr>
        <w:t>Keadle</w:t>
      </w:r>
      <w:proofErr w:type="spellEnd"/>
      <w:r w:rsidRPr="00FE4645">
        <w:rPr>
          <w:sz w:val="24"/>
          <w:szCs w:val="24"/>
        </w:rPr>
        <w:t xml:space="preserve"> Markey, Note, </w:t>
      </w:r>
      <w:r w:rsidRPr="00FE4645">
        <w:rPr>
          <w:i/>
          <w:iCs/>
          <w:sz w:val="24"/>
          <w:szCs w:val="24"/>
        </w:rPr>
        <w:t xml:space="preserve">The ADA’s Last </w:t>
      </w:r>
      <w:proofErr w:type="gramStart"/>
      <w:r w:rsidRPr="00FE4645">
        <w:rPr>
          <w:i/>
          <w:iCs/>
          <w:sz w:val="24"/>
          <w:szCs w:val="24"/>
        </w:rPr>
        <w:t>Stand?:</w:t>
      </w:r>
      <w:proofErr w:type="gramEnd"/>
      <w:r w:rsidRPr="00FE4645">
        <w:rPr>
          <w:i/>
          <w:iCs/>
          <w:sz w:val="24"/>
          <w:szCs w:val="24"/>
        </w:rPr>
        <w:t xml:space="preserve"> Standing and the Americans with Disabilities Act</w:t>
      </w:r>
      <w:r w:rsidRPr="00FE4645">
        <w:rPr>
          <w:sz w:val="24"/>
          <w:szCs w:val="24"/>
        </w:rPr>
        <w:t>, 71 F</w:t>
      </w:r>
      <w:r w:rsidR="002300C2" w:rsidRPr="00FE4645">
        <w:rPr>
          <w:sz w:val="24"/>
          <w:szCs w:val="24"/>
        </w:rPr>
        <w:t>ordham</w:t>
      </w:r>
      <w:r w:rsidRPr="00FE4645">
        <w:rPr>
          <w:sz w:val="24"/>
          <w:szCs w:val="24"/>
        </w:rPr>
        <w:t xml:space="preserve"> L. R</w:t>
      </w:r>
      <w:r w:rsidR="002300C2" w:rsidRPr="00FE4645">
        <w:rPr>
          <w:sz w:val="24"/>
          <w:szCs w:val="24"/>
        </w:rPr>
        <w:t>ev</w:t>
      </w:r>
      <w:r w:rsidRPr="00FE4645">
        <w:rPr>
          <w:sz w:val="24"/>
          <w:szCs w:val="24"/>
        </w:rPr>
        <w:t xml:space="preserve">. 185 (2002), </w:t>
      </w:r>
      <w:hyperlink r:id="rId16" w:history="1">
        <w:r w:rsidRPr="00FE4645">
          <w:rPr>
            <w:rStyle w:val="Hyperlink"/>
            <w:sz w:val="24"/>
            <w:szCs w:val="24"/>
          </w:rPr>
          <w:t>https://ir.lawnet.fordham.edu/flr/vol71/iss1/4</w:t>
        </w:r>
      </w:hyperlink>
      <w:r w:rsidRPr="00FE4645">
        <w:rPr>
          <w:sz w:val="24"/>
          <w:szCs w:val="24"/>
        </w:rPr>
        <w:t xml:space="preserve"> (last accessed </w:t>
      </w:r>
      <w:r w:rsidR="00A378FE">
        <w:rPr>
          <w:sz w:val="24"/>
          <w:szCs w:val="24"/>
        </w:rPr>
        <w:t>June 14, 2022</w:t>
      </w:r>
      <w:r w:rsidRPr="00FE4645">
        <w:rPr>
          <w:sz w:val="24"/>
          <w:szCs w:val="24"/>
        </w:rPr>
        <w:t>) (arguing for a more lenient standard for standing under the ADA)).</w:t>
      </w:r>
    </w:p>
  </w:footnote>
  <w:footnote w:id="21">
    <w:p w14:paraId="0C62E4CF" w14:textId="33766069"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Johnson</w:t>
      </w:r>
      <w:r w:rsidR="000D05D9" w:rsidRPr="00FE4645">
        <w:rPr>
          <w:sz w:val="24"/>
          <w:szCs w:val="24"/>
        </w:rPr>
        <w:t>,</w:t>
      </w:r>
      <w:r w:rsidRPr="00FE4645">
        <w:rPr>
          <w:sz w:val="24"/>
          <w:szCs w:val="24"/>
        </w:rPr>
        <w:t xml:space="preserve"> </w:t>
      </w:r>
      <w:r w:rsidRPr="00FE4645">
        <w:rPr>
          <w:i/>
          <w:iCs/>
          <w:sz w:val="24"/>
          <w:szCs w:val="24"/>
        </w:rPr>
        <w:t xml:space="preserve">supra </w:t>
      </w:r>
      <w:r w:rsidRPr="00FE4645">
        <w:rPr>
          <w:sz w:val="24"/>
          <w:szCs w:val="24"/>
        </w:rPr>
        <w:t>note 1</w:t>
      </w:r>
      <w:r w:rsidR="000D05D9" w:rsidRPr="00FE4645">
        <w:rPr>
          <w:sz w:val="24"/>
          <w:szCs w:val="24"/>
        </w:rPr>
        <w:t>4</w:t>
      </w:r>
      <w:r w:rsidRPr="00FE4645">
        <w:rPr>
          <w:sz w:val="24"/>
          <w:szCs w:val="24"/>
        </w:rPr>
        <w:t xml:space="preserve"> (</w:t>
      </w:r>
      <w:r w:rsidRPr="00FE4645">
        <w:rPr>
          <w:i/>
          <w:iCs/>
          <w:sz w:val="24"/>
          <w:szCs w:val="24"/>
        </w:rPr>
        <w:t xml:space="preserve">citing </w:t>
      </w:r>
      <w:r w:rsidRPr="00FE4645">
        <w:rPr>
          <w:sz w:val="24"/>
          <w:szCs w:val="24"/>
        </w:rPr>
        <w:t xml:space="preserve">Samuel R. </w:t>
      </w:r>
      <w:proofErr w:type="spellStart"/>
      <w:r w:rsidRPr="00FE4645">
        <w:rPr>
          <w:sz w:val="24"/>
          <w:szCs w:val="24"/>
        </w:rPr>
        <w:t>Bagenstos</w:t>
      </w:r>
      <w:proofErr w:type="spellEnd"/>
      <w:r w:rsidRPr="00FE4645">
        <w:rPr>
          <w:sz w:val="24"/>
          <w:szCs w:val="24"/>
        </w:rPr>
        <w:t xml:space="preserve">, </w:t>
      </w:r>
      <w:r w:rsidRPr="00FE4645">
        <w:rPr>
          <w:i/>
          <w:iCs/>
          <w:sz w:val="24"/>
          <w:szCs w:val="24"/>
        </w:rPr>
        <w:t>The Perversity of Limited Civil Rights Remedies: The Case of “Abusive” ADA Litigation</w:t>
      </w:r>
      <w:r w:rsidRPr="00FE4645">
        <w:rPr>
          <w:sz w:val="24"/>
          <w:szCs w:val="24"/>
        </w:rPr>
        <w:t>, 54 UCLA L. R</w:t>
      </w:r>
      <w:r w:rsidR="000D05D9" w:rsidRPr="00FE4645">
        <w:rPr>
          <w:sz w:val="24"/>
          <w:szCs w:val="24"/>
        </w:rPr>
        <w:t>ev</w:t>
      </w:r>
      <w:r w:rsidRPr="00FE4645">
        <w:rPr>
          <w:sz w:val="24"/>
          <w:szCs w:val="24"/>
        </w:rPr>
        <w:t>. 1, 3 (2006),</w:t>
      </w:r>
      <w:r w:rsidR="000D05D9" w:rsidRPr="00FE4645">
        <w:rPr>
          <w:sz w:val="24"/>
          <w:szCs w:val="24"/>
        </w:rPr>
        <w:t xml:space="preserve"> </w:t>
      </w:r>
      <w:hyperlink r:id="rId17" w:history="1">
        <w:r w:rsidRPr="00FE4645">
          <w:rPr>
            <w:rStyle w:val="Hyperlink"/>
            <w:sz w:val="24"/>
            <w:szCs w:val="24"/>
          </w:rPr>
          <w:t>https://www.uclalawreview.org/the-perversity-of-limited-civil-rights-remedies-the-case-of-abusive-ada-litigation/</w:t>
        </w:r>
      </w:hyperlink>
      <w:r w:rsidRPr="00FE4645">
        <w:rPr>
          <w:sz w:val="24"/>
          <w:szCs w:val="24"/>
        </w:rPr>
        <w:t xml:space="preserve"> (last accessed </w:t>
      </w:r>
      <w:r w:rsidR="00A378FE">
        <w:rPr>
          <w:sz w:val="24"/>
          <w:szCs w:val="24"/>
        </w:rPr>
        <w:t>June 14, 2022</w:t>
      </w:r>
      <w:r w:rsidRPr="00FE4645">
        <w:rPr>
          <w:sz w:val="24"/>
          <w:szCs w:val="24"/>
        </w:rPr>
        <w:t>) (discussing the need for private enforcement in Title III of the ADA and the fact that the limitations courts are placing on ADA plaintiffs are causing abusive litigation)).</w:t>
      </w:r>
    </w:p>
  </w:footnote>
  <w:footnote w:id="22">
    <w:p w14:paraId="29AE2E1B" w14:textId="58C64B2A"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42 U.S.C. § 12188(b).</w:t>
      </w:r>
    </w:p>
  </w:footnote>
  <w:footnote w:id="23">
    <w:p w14:paraId="1A2B7F1A" w14:textId="4A3E7747"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42 U.S.C. § 12188(a).</w:t>
      </w:r>
    </w:p>
  </w:footnote>
  <w:footnote w:id="24">
    <w:p w14:paraId="72F5A406" w14:textId="5972C3A5" w:rsidR="009C7A6B" w:rsidRPr="00FE4645" w:rsidRDefault="009C7A6B" w:rsidP="00051F73">
      <w:pPr>
        <w:pStyle w:val="FootnoteText"/>
        <w:jc w:val="both"/>
        <w:rPr>
          <w:i/>
          <w:iCs/>
          <w:sz w:val="24"/>
          <w:szCs w:val="24"/>
          <w:highlight w:val="yellow"/>
        </w:rPr>
      </w:pPr>
      <w:r w:rsidRPr="00FE4645">
        <w:rPr>
          <w:rStyle w:val="FootnoteReference"/>
          <w:sz w:val="24"/>
          <w:szCs w:val="24"/>
        </w:rPr>
        <w:footnoteRef/>
      </w:r>
      <w:r w:rsidRPr="00FE4645">
        <w:rPr>
          <w:sz w:val="24"/>
          <w:szCs w:val="24"/>
        </w:rPr>
        <w:t xml:space="preserve"> </w:t>
      </w:r>
      <w:r w:rsidR="007A32CF" w:rsidRPr="00FE4645">
        <w:rPr>
          <w:sz w:val="24"/>
          <w:szCs w:val="24"/>
        </w:rPr>
        <w:t xml:space="preserve">Johnson, </w:t>
      </w:r>
      <w:r w:rsidR="007A32CF" w:rsidRPr="00FE4645">
        <w:rPr>
          <w:i/>
          <w:iCs/>
          <w:sz w:val="24"/>
          <w:szCs w:val="24"/>
        </w:rPr>
        <w:t xml:space="preserve">supra </w:t>
      </w:r>
      <w:r w:rsidR="007A32CF" w:rsidRPr="00FE4645">
        <w:rPr>
          <w:sz w:val="24"/>
          <w:szCs w:val="24"/>
        </w:rPr>
        <w:t>note 14.</w:t>
      </w:r>
    </w:p>
  </w:footnote>
  <w:footnote w:id="25">
    <w:p w14:paraId="556C42D5" w14:textId="22C87D84"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iCs/>
          <w:sz w:val="24"/>
          <w:szCs w:val="24"/>
        </w:rPr>
        <w:t>Betancourt v. Ingram Park Mall</w:t>
      </w:r>
      <w:r w:rsidRPr="00FE4645">
        <w:rPr>
          <w:sz w:val="24"/>
          <w:szCs w:val="24"/>
        </w:rPr>
        <w:t>, 735 F. Supp. 2d 587, 596 (W.D. Tex. 2010).</w:t>
      </w:r>
    </w:p>
  </w:footnote>
  <w:footnote w:id="26">
    <w:p w14:paraId="1BF76A40" w14:textId="0083EC00" w:rsidR="009C7A6B" w:rsidRPr="00FE4645" w:rsidRDefault="009C7A6B" w:rsidP="00051F73">
      <w:pPr>
        <w:pStyle w:val="FootnoteText"/>
        <w:jc w:val="both"/>
        <w:rPr>
          <w:i/>
          <w:iCs/>
          <w:sz w:val="24"/>
          <w:szCs w:val="24"/>
          <w:highlight w:val="yellow"/>
        </w:rPr>
      </w:pPr>
      <w:r w:rsidRPr="00FE4645">
        <w:rPr>
          <w:rStyle w:val="FootnoteReference"/>
          <w:sz w:val="24"/>
          <w:szCs w:val="24"/>
        </w:rPr>
        <w:footnoteRef/>
      </w:r>
      <w:r w:rsidRPr="00FE4645">
        <w:rPr>
          <w:sz w:val="24"/>
          <w:szCs w:val="24"/>
        </w:rPr>
        <w:t xml:space="preserve"> </w:t>
      </w:r>
      <w:r w:rsidRPr="00FE4645">
        <w:rPr>
          <w:i/>
          <w:iCs/>
          <w:sz w:val="24"/>
          <w:szCs w:val="24"/>
        </w:rPr>
        <w:t>Id.</w:t>
      </w:r>
      <w:r w:rsidRPr="00FE4645">
        <w:rPr>
          <w:sz w:val="24"/>
          <w:szCs w:val="24"/>
        </w:rPr>
        <w:t xml:space="preserve"> (</w:t>
      </w:r>
      <w:r w:rsidRPr="00FE4645">
        <w:rPr>
          <w:i/>
          <w:iCs/>
          <w:sz w:val="24"/>
          <w:szCs w:val="24"/>
        </w:rPr>
        <w:t xml:space="preserve">quoting </w:t>
      </w:r>
      <w:proofErr w:type="spellStart"/>
      <w:r w:rsidRPr="00FE4645">
        <w:rPr>
          <w:i/>
          <w:iCs/>
          <w:sz w:val="24"/>
          <w:szCs w:val="24"/>
        </w:rPr>
        <w:t>Molski</w:t>
      </w:r>
      <w:proofErr w:type="spellEnd"/>
      <w:r w:rsidRPr="00FE4645">
        <w:rPr>
          <w:i/>
          <w:iCs/>
          <w:sz w:val="24"/>
          <w:szCs w:val="24"/>
        </w:rPr>
        <w:t xml:space="preserve"> v. Evergreen Dynasty Corp</w:t>
      </w:r>
      <w:r w:rsidRPr="00FE4645">
        <w:rPr>
          <w:sz w:val="24"/>
          <w:szCs w:val="24"/>
        </w:rPr>
        <w:t>., 500 F.3d 1047, 1062 (9th Cir. 2007)</w:t>
      </w:r>
      <w:r w:rsidR="006614D1" w:rsidRPr="00FE4645">
        <w:rPr>
          <w:sz w:val="24"/>
          <w:szCs w:val="24"/>
        </w:rPr>
        <w:t>)</w:t>
      </w:r>
      <w:r w:rsidRPr="00FE4645">
        <w:rPr>
          <w:sz w:val="24"/>
          <w:szCs w:val="24"/>
        </w:rPr>
        <w:t xml:space="preserve">; </w:t>
      </w:r>
      <w:proofErr w:type="spellStart"/>
      <w:r w:rsidRPr="00FE4645">
        <w:rPr>
          <w:i/>
          <w:iCs/>
          <w:sz w:val="24"/>
          <w:szCs w:val="24"/>
        </w:rPr>
        <w:t>D’Lil</w:t>
      </w:r>
      <w:proofErr w:type="spellEnd"/>
      <w:r w:rsidRPr="00FE4645">
        <w:rPr>
          <w:i/>
          <w:iCs/>
          <w:sz w:val="24"/>
          <w:szCs w:val="24"/>
        </w:rPr>
        <w:t xml:space="preserve"> v. Best Western Encina Lodge &amp; Suite</w:t>
      </w:r>
      <w:r w:rsidRPr="00FE4645">
        <w:rPr>
          <w:sz w:val="24"/>
          <w:szCs w:val="24"/>
        </w:rPr>
        <w:t>s, 538 F.3d 1031, 1040 (9th Cir. 2008) (same).</w:t>
      </w:r>
    </w:p>
  </w:footnote>
  <w:footnote w:id="27">
    <w:p w14:paraId="013DF5E1" w14:textId="60017492"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Statement of Interest of the United States of America, </w:t>
      </w:r>
      <w:r w:rsidRPr="00FE4645">
        <w:rPr>
          <w:i/>
          <w:iCs/>
          <w:sz w:val="24"/>
          <w:szCs w:val="24"/>
        </w:rPr>
        <w:t>ERC v. Abercrombie &amp; Fitch Co.</w:t>
      </w:r>
      <w:r w:rsidRPr="00FE4645">
        <w:rPr>
          <w:sz w:val="24"/>
          <w:szCs w:val="24"/>
        </w:rPr>
        <w:t>,</w:t>
      </w:r>
      <w:r w:rsidR="00070D41" w:rsidRPr="00FE4645">
        <w:rPr>
          <w:sz w:val="24"/>
          <w:szCs w:val="24"/>
        </w:rPr>
        <w:t xml:space="preserve"> </w:t>
      </w:r>
      <w:r w:rsidRPr="00FE4645">
        <w:rPr>
          <w:sz w:val="24"/>
          <w:szCs w:val="24"/>
        </w:rPr>
        <w:t xml:space="preserve">No. 1:09-cv-03157 (D. Md.), ECF No. 38, at </w:t>
      </w:r>
      <w:r w:rsidR="00E96F10" w:rsidRPr="00FE4645">
        <w:rPr>
          <w:sz w:val="24"/>
          <w:szCs w:val="24"/>
        </w:rPr>
        <w:t>*</w:t>
      </w:r>
      <w:r w:rsidRPr="00FE4645">
        <w:rPr>
          <w:sz w:val="24"/>
          <w:szCs w:val="24"/>
        </w:rPr>
        <w:t xml:space="preserve">1 (July 6, 2010); </w:t>
      </w:r>
      <w:r w:rsidRPr="00FE4645">
        <w:rPr>
          <w:i/>
          <w:iCs/>
          <w:sz w:val="24"/>
          <w:szCs w:val="24"/>
        </w:rPr>
        <w:t xml:space="preserve">See also Hensley v. </w:t>
      </w:r>
      <w:proofErr w:type="spellStart"/>
      <w:r w:rsidRPr="00FE4645">
        <w:rPr>
          <w:i/>
          <w:iCs/>
          <w:sz w:val="24"/>
          <w:szCs w:val="24"/>
        </w:rPr>
        <w:t>Eckerhart</w:t>
      </w:r>
      <w:proofErr w:type="spellEnd"/>
      <w:r w:rsidRPr="00FE4645">
        <w:rPr>
          <w:sz w:val="24"/>
          <w:szCs w:val="24"/>
        </w:rPr>
        <w:t>, 461 U.S. 424, 445 (1983) (“All of these civil rights laws depend heavily upon private enforcement, and fee awards have proved an essential remedy if private citizens are to have a meaningful opportunity to vindicate the important Congressional policies which these laws contain.”).</w:t>
      </w:r>
    </w:p>
  </w:footnote>
  <w:footnote w:id="28">
    <w:p w14:paraId="1E54834B" w14:textId="32E1E433"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proofErr w:type="spellStart"/>
      <w:r w:rsidRPr="00FE4645">
        <w:rPr>
          <w:i/>
          <w:iCs/>
          <w:sz w:val="24"/>
          <w:szCs w:val="24"/>
        </w:rPr>
        <w:t>Norkunas</w:t>
      </w:r>
      <w:proofErr w:type="spellEnd"/>
      <w:r w:rsidRPr="00FE4645">
        <w:rPr>
          <w:i/>
          <w:iCs/>
          <w:sz w:val="24"/>
          <w:szCs w:val="24"/>
        </w:rPr>
        <w:t xml:space="preserve"> v. HPT Cambridge, LLC</w:t>
      </w:r>
      <w:r w:rsidRPr="00FE4645">
        <w:rPr>
          <w:sz w:val="24"/>
          <w:szCs w:val="24"/>
        </w:rPr>
        <w:t>, 969 F. Supp. 2d 184, 194 (D. Mass. 2013) (Young, J.) (</w:t>
      </w:r>
      <w:r w:rsidRPr="00FE4645">
        <w:rPr>
          <w:i/>
          <w:iCs/>
          <w:sz w:val="24"/>
          <w:szCs w:val="24"/>
        </w:rPr>
        <w:t>quoting Iverson v. Braintree Prop. Assocs., L.P</w:t>
      </w:r>
      <w:r w:rsidRPr="00FE4645">
        <w:rPr>
          <w:sz w:val="24"/>
          <w:szCs w:val="24"/>
        </w:rPr>
        <w:t>., No. 04</w:t>
      </w:r>
      <w:r w:rsidR="00B16453" w:rsidRPr="00FE4645">
        <w:rPr>
          <w:sz w:val="24"/>
          <w:szCs w:val="24"/>
        </w:rPr>
        <w:t>-</w:t>
      </w:r>
      <w:r w:rsidRPr="00FE4645">
        <w:rPr>
          <w:sz w:val="24"/>
          <w:szCs w:val="24"/>
        </w:rPr>
        <w:t>cv</w:t>
      </w:r>
      <w:r w:rsidR="00B16453" w:rsidRPr="00FE4645">
        <w:rPr>
          <w:sz w:val="24"/>
          <w:szCs w:val="24"/>
        </w:rPr>
        <w:t>-</w:t>
      </w:r>
      <w:r w:rsidRPr="00FE4645">
        <w:rPr>
          <w:sz w:val="24"/>
          <w:szCs w:val="24"/>
        </w:rPr>
        <w:t>12079-NG, 2008 WL 552652, at *3 n.5 (D. Mass. Feb. 26, 2008) (</w:t>
      </w:r>
      <w:proofErr w:type="spellStart"/>
      <w:r w:rsidRPr="00FE4645">
        <w:rPr>
          <w:sz w:val="24"/>
          <w:szCs w:val="24"/>
        </w:rPr>
        <w:t>Gertner</w:t>
      </w:r>
      <w:proofErr w:type="spellEnd"/>
      <w:r w:rsidRPr="00FE4645">
        <w:rPr>
          <w:sz w:val="24"/>
          <w:szCs w:val="24"/>
        </w:rPr>
        <w:t>, J.)</w:t>
      </w:r>
      <w:r w:rsidR="00F87A32" w:rsidRPr="00FE4645">
        <w:rPr>
          <w:sz w:val="24"/>
          <w:szCs w:val="24"/>
        </w:rPr>
        <w:t>)</w:t>
      </w:r>
      <w:r w:rsidRPr="00FE4645">
        <w:rPr>
          <w:sz w:val="24"/>
          <w:szCs w:val="24"/>
        </w:rPr>
        <w:t xml:space="preserve">; </w:t>
      </w:r>
      <w:r w:rsidRPr="00FE4645">
        <w:rPr>
          <w:i/>
          <w:iCs/>
          <w:sz w:val="24"/>
          <w:szCs w:val="24"/>
        </w:rPr>
        <w:t>see also Murphy v. Bob Cochran Motors, Inc.</w:t>
      </w:r>
      <w:r w:rsidRPr="00FE4645">
        <w:rPr>
          <w:sz w:val="24"/>
          <w:szCs w:val="24"/>
        </w:rPr>
        <w:t xml:space="preserve">, No. 1:19-cv-00239, 2020 U.S. Dist. LEXIS 139887, at *15-16 (W.D. Pa. Aug. 4, 2020), </w:t>
      </w:r>
      <w:r w:rsidRPr="00FE4645">
        <w:rPr>
          <w:i/>
          <w:iCs/>
          <w:sz w:val="24"/>
          <w:szCs w:val="24"/>
        </w:rPr>
        <w:t>adopted by Murphy v. Bob Cochran Motors, Inc</w:t>
      </w:r>
      <w:r w:rsidRPr="00FE4645">
        <w:rPr>
          <w:sz w:val="24"/>
          <w:szCs w:val="24"/>
        </w:rPr>
        <w:t>., 2020 U.S. Dist. LEXIS 177593 (W.D. Pa., Sept. 28, 2020)</w:t>
      </w:r>
      <w:r w:rsidRPr="00FE4645">
        <w:rPr>
          <w:i/>
          <w:iCs/>
          <w:sz w:val="24"/>
          <w:szCs w:val="24"/>
        </w:rPr>
        <w:t xml:space="preserve"> </w:t>
      </w:r>
      <w:r w:rsidRPr="00FE4645">
        <w:rPr>
          <w:sz w:val="24"/>
          <w:szCs w:val="24"/>
        </w:rPr>
        <w:t>(upholding tester standing in a substantially identical ADA website accessibility case).</w:t>
      </w:r>
    </w:p>
  </w:footnote>
  <w:footnote w:id="29">
    <w:p w14:paraId="49F090B1" w14:textId="1D08D2CD"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Annemarie Cooke, </w:t>
      </w:r>
      <w:r w:rsidR="00F92AEE" w:rsidRPr="00FE4645">
        <w:rPr>
          <w:i/>
          <w:iCs/>
          <w:sz w:val="24"/>
          <w:szCs w:val="24"/>
        </w:rPr>
        <w:t>A History of Accessibility at IBM</w:t>
      </w:r>
      <w:r w:rsidR="00F92AEE" w:rsidRPr="00FE4645">
        <w:rPr>
          <w:sz w:val="24"/>
          <w:szCs w:val="24"/>
        </w:rPr>
        <w:t xml:space="preserve">, </w:t>
      </w:r>
      <w:r w:rsidRPr="00FE4645">
        <w:rPr>
          <w:sz w:val="24"/>
          <w:szCs w:val="24"/>
        </w:rPr>
        <w:t>American Found</w:t>
      </w:r>
      <w:r w:rsidR="00F92AEE" w:rsidRPr="00FE4645">
        <w:rPr>
          <w:sz w:val="24"/>
          <w:szCs w:val="24"/>
        </w:rPr>
        <w:t>.</w:t>
      </w:r>
      <w:r w:rsidRPr="00FE4645">
        <w:rPr>
          <w:sz w:val="24"/>
          <w:szCs w:val="24"/>
        </w:rPr>
        <w:t xml:space="preserve"> for the Blind (Mar. 2004), </w:t>
      </w:r>
      <w:hyperlink r:id="rId18" w:history="1">
        <w:r w:rsidRPr="00FE4645">
          <w:rPr>
            <w:rStyle w:val="Hyperlink"/>
            <w:sz w:val="24"/>
            <w:szCs w:val="24"/>
          </w:rPr>
          <w:t>https://www.afb.org/aw/5/2/14760</w:t>
        </w:r>
      </w:hyperlink>
      <w:r w:rsidRPr="00FE4645">
        <w:rPr>
          <w:sz w:val="24"/>
          <w:szCs w:val="24"/>
        </w:rPr>
        <w:t xml:space="preserve"> (last accessed </w:t>
      </w:r>
      <w:r w:rsidR="00A378FE">
        <w:rPr>
          <w:sz w:val="24"/>
          <w:szCs w:val="24"/>
        </w:rPr>
        <w:t>June 14, 2022</w:t>
      </w:r>
      <w:r w:rsidRPr="00FE4645">
        <w:rPr>
          <w:sz w:val="24"/>
          <w:szCs w:val="24"/>
        </w:rPr>
        <w:t>) (Jim Thatcher created the first screen reader at IBM in 1986)</w:t>
      </w:r>
      <w:r w:rsidR="004519FC" w:rsidRPr="00FE4645">
        <w:rPr>
          <w:sz w:val="24"/>
          <w:szCs w:val="24"/>
        </w:rPr>
        <w:t>.</w:t>
      </w:r>
    </w:p>
  </w:footnote>
  <w:footnote w:id="30">
    <w:p w14:paraId="4FAEE9FE" w14:textId="6D002CB5"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w:t>
      </w:r>
      <w:r w:rsidRPr="00FE4645">
        <w:rPr>
          <w:i/>
          <w:iCs/>
          <w:sz w:val="24"/>
          <w:szCs w:val="24"/>
        </w:rPr>
        <w:t>See</w:t>
      </w:r>
      <w:r w:rsidRPr="00FE4645">
        <w:rPr>
          <w:sz w:val="24"/>
          <w:szCs w:val="24"/>
        </w:rPr>
        <w:t xml:space="preserve"> </w:t>
      </w:r>
      <w:r w:rsidR="0018260E" w:rsidRPr="00FE4645">
        <w:rPr>
          <w:i/>
          <w:iCs/>
          <w:sz w:val="24"/>
          <w:szCs w:val="24"/>
        </w:rPr>
        <w:t>Accessibility Basics</w:t>
      </w:r>
      <w:r w:rsidR="0018260E" w:rsidRPr="00FE4645">
        <w:rPr>
          <w:sz w:val="24"/>
          <w:szCs w:val="24"/>
        </w:rPr>
        <w:t xml:space="preserve">, </w:t>
      </w:r>
      <w:r w:rsidRPr="00FE4645">
        <w:rPr>
          <w:sz w:val="24"/>
          <w:szCs w:val="24"/>
        </w:rPr>
        <w:t xml:space="preserve">U.S. </w:t>
      </w:r>
      <w:proofErr w:type="spellStart"/>
      <w:r w:rsidRPr="00FE4645">
        <w:rPr>
          <w:sz w:val="24"/>
          <w:szCs w:val="24"/>
        </w:rPr>
        <w:t>Dep</w:t>
      </w:r>
      <w:r w:rsidR="00A34D1C" w:rsidRPr="00FE4645">
        <w:rPr>
          <w:sz w:val="24"/>
          <w:szCs w:val="24"/>
        </w:rPr>
        <w:t>’</w:t>
      </w:r>
      <w:r w:rsidRPr="00FE4645">
        <w:rPr>
          <w:sz w:val="24"/>
          <w:szCs w:val="24"/>
        </w:rPr>
        <w:t>t</w:t>
      </w:r>
      <w:proofErr w:type="spellEnd"/>
      <w:r w:rsidRPr="00FE4645">
        <w:rPr>
          <w:sz w:val="24"/>
          <w:szCs w:val="24"/>
        </w:rPr>
        <w:t xml:space="preserve"> of Health &amp; Human Servs</w:t>
      </w:r>
      <w:r w:rsidR="008039D6" w:rsidRPr="00FE4645">
        <w:rPr>
          <w:sz w:val="24"/>
          <w:szCs w:val="24"/>
        </w:rPr>
        <w:t>.</w:t>
      </w:r>
      <w:r w:rsidRPr="00FE4645">
        <w:rPr>
          <w:sz w:val="24"/>
          <w:szCs w:val="24"/>
        </w:rPr>
        <w:t xml:space="preserve">, usability.gov, </w:t>
      </w:r>
      <w:hyperlink r:id="rId19" w:history="1">
        <w:r w:rsidRPr="00FE4645">
          <w:rPr>
            <w:rStyle w:val="Hyperlink"/>
            <w:sz w:val="24"/>
            <w:szCs w:val="24"/>
          </w:rPr>
          <w:t>https://www.usability.gov/what-and-why/accessibility.html</w:t>
        </w:r>
      </w:hyperlink>
      <w:r w:rsidRPr="00FE4645">
        <w:rPr>
          <w:sz w:val="24"/>
          <w:szCs w:val="24"/>
        </w:rPr>
        <w:t xml:space="preserve"> (last accessed </w:t>
      </w:r>
      <w:r w:rsidR="00A378FE">
        <w:rPr>
          <w:sz w:val="24"/>
          <w:szCs w:val="24"/>
        </w:rPr>
        <w:t>June 14, 2022</w:t>
      </w:r>
      <w:r w:rsidRPr="00FE4645">
        <w:rPr>
          <w:sz w:val="24"/>
          <w:szCs w:val="24"/>
        </w:rPr>
        <w:t>).</w:t>
      </w:r>
    </w:p>
  </w:footnote>
  <w:footnote w:id="31">
    <w:p w14:paraId="28117874" w14:textId="768A5CEC"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00E076A2" w:rsidRPr="00FE4645">
        <w:rPr>
          <w:i/>
          <w:iCs/>
          <w:sz w:val="24"/>
          <w:szCs w:val="24"/>
        </w:rPr>
        <w:t>Information Technology Policy: Information Technology Accessibility Policy</w:t>
      </w:r>
      <w:r w:rsidR="00E076A2" w:rsidRPr="00FE4645">
        <w:rPr>
          <w:sz w:val="24"/>
          <w:szCs w:val="24"/>
        </w:rPr>
        <w:t xml:space="preserve">, </w:t>
      </w:r>
      <w:r w:rsidRPr="00FE4645">
        <w:rPr>
          <w:sz w:val="24"/>
          <w:szCs w:val="24"/>
        </w:rPr>
        <w:t>Pa</w:t>
      </w:r>
      <w:r w:rsidR="00E076A2" w:rsidRPr="00FE4645">
        <w:rPr>
          <w:sz w:val="24"/>
          <w:szCs w:val="24"/>
        </w:rPr>
        <w:t>.</w:t>
      </w:r>
      <w:r w:rsidRPr="00FE4645">
        <w:rPr>
          <w:sz w:val="24"/>
          <w:szCs w:val="24"/>
        </w:rPr>
        <w:t xml:space="preserve"> Office of Admin</w:t>
      </w:r>
      <w:r w:rsidR="00E076A2" w:rsidRPr="00FE4645">
        <w:rPr>
          <w:sz w:val="24"/>
          <w:szCs w:val="24"/>
        </w:rPr>
        <w:t>. (</w:t>
      </w:r>
      <w:r w:rsidRPr="00FE4645">
        <w:rPr>
          <w:sz w:val="24"/>
          <w:szCs w:val="24"/>
        </w:rPr>
        <w:t>Mar. 16, 2006</w:t>
      </w:r>
      <w:r w:rsidR="00E076A2" w:rsidRPr="00FE4645">
        <w:rPr>
          <w:sz w:val="24"/>
          <w:szCs w:val="24"/>
        </w:rPr>
        <w:t>)</w:t>
      </w:r>
      <w:r w:rsidRPr="00FE4645">
        <w:rPr>
          <w:sz w:val="24"/>
          <w:szCs w:val="24"/>
        </w:rPr>
        <w:t>,</w:t>
      </w:r>
      <w:r w:rsidR="00E076A2" w:rsidRPr="00FE4645">
        <w:rPr>
          <w:sz w:val="24"/>
          <w:szCs w:val="24"/>
        </w:rPr>
        <w:t xml:space="preserve"> </w:t>
      </w:r>
      <w:hyperlink r:id="rId20" w:history="1">
        <w:r w:rsidR="00E076A2" w:rsidRPr="00FE4645">
          <w:rPr>
            <w:rStyle w:val="Hyperlink"/>
            <w:sz w:val="24"/>
            <w:szCs w:val="24"/>
          </w:rPr>
          <w:t>https://www.oa.pa.gov/Policies/Documents/itp_acc001.pdf</w:t>
        </w:r>
      </w:hyperlink>
      <w:r w:rsidRPr="00FE4645">
        <w:rPr>
          <w:sz w:val="24"/>
          <w:szCs w:val="24"/>
        </w:rPr>
        <w:t xml:space="preserve"> (last accessed </w:t>
      </w:r>
      <w:r w:rsidR="00A378FE">
        <w:rPr>
          <w:sz w:val="24"/>
          <w:szCs w:val="24"/>
        </w:rPr>
        <w:t>June 14, 2022</w:t>
      </w:r>
      <w:r w:rsidRPr="00FE4645">
        <w:rPr>
          <w:sz w:val="24"/>
          <w:szCs w:val="24"/>
        </w:rPr>
        <w:t>).</w:t>
      </w:r>
    </w:p>
  </w:footnote>
  <w:footnote w:id="32">
    <w:p w14:paraId="394A312C" w14:textId="030E1152"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w:t>
      </w:r>
      <w:r w:rsidR="001455A7" w:rsidRPr="00FE4645">
        <w:rPr>
          <w:i/>
          <w:iCs/>
          <w:sz w:val="24"/>
          <w:szCs w:val="24"/>
        </w:rPr>
        <w:t>Accessibility Policy</w:t>
      </w:r>
      <w:r w:rsidR="001455A7" w:rsidRPr="00FE4645">
        <w:rPr>
          <w:sz w:val="24"/>
          <w:szCs w:val="24"/>
        </w:rPr>
        <w:t xml:space="preserve">, </w:t>
      </w:r>
      <w:r w:rsidRPr="00FE4645">
        <w:rPr>
          <w:sz w:val="24"/>
          <w:szCs w:val="24"/>
        </w:rPr>
        <w:t>Commonwealth of Pa</w:t>
      </w:r>
      <w:r w:rsidR="001455A7" w:rsidRPr="00FE4645">
        <w:rPr>
          <w:sz w:val="24"/>
          <w:szCs w:val="24"/>
        </w:rPr>
        <w:t>.</w:t>
      </w:r>
      <w:r w:rsidRPr="00FE4645">
        <w:rPr>
          <w:sz w:val="24"/>
          <w:szCs w:val="24"/>
        </w:rPr>
        <w:t xml:space="preserve">, </w:t>
      </w:r>
      <w:hyperlink r:id="rId21" w:history="1">
        <w:r w:rsidRPr="00FE4645">
          <w:rPr>
            <w:rStyle w:val="Hyperlink"/>
            <w:sz w:val="24"/>
            <w:szCs w:val="24"/>
          </w:rPr>
          <w:t>https://www.pa.gov/accessibility-policy/</w:t>
        </w:r>
      </w:hyperlink>
      <w:r w:rsidRPr="00FE4645">
        <w:rPr>
          <w:sz w:val="24"/>
          <w:szCs w:val="24"/>
        </w:rPr>
        <w:t xml:space="preserve"> (last accessed </w:t>
      </w:r>
      <w:r w:rsidR="00A378FE">
        <w:rPr>
          <w:sz w:val="24"/>
          <w:szCs w:val="24"/>
        </w:rPr>
        <w:t>June 14, 2022</w:t>
      </w:r>
      <w:r w:rsidRPr="00FE4645">
        <w:rPr>
          <w:sz w:val="24"/>
          <w:szCs w:val="24"/>
        </w:rPr>
        <w:t>).</w:t>
      </w:r>
    </w:p>
  </w:footnote>
  <w:footnote w:id="33">
    <w:p w14:paraId="7A005261" w14:textId="1E76F9B8" w:rsidR="009A1F75" w:rsidRPr="00FE4645" w:rsidRDefault="009A1F75" w:rsidP="00051F73">
      <w:pPr>
        <w:pStyle w:val="FootnoteText"/>
        <w:spacing w:after="120"/>
        <w:jc w:val="both"/>
        <w:rPr>
          <w:sz w:val="24"/>
          <w:szCs w:val="24"/>
        </w:rPr>
      </w:pPr>
      <w:r w:rsidRPr="00FE4645">
        <w:rPr>
          <w:rStyle w:val="FootnoteReference"/>
          <w:sz w:val="24"/>
          <w:szCs w:val="24"/>
        </w:rPr>
        <w:footnoteRef/>
      </w:r>
      <w:r w:rsidRPr="00FE4645">
        <w:rPr>
          <w:sz w:val="24"/>
          <w:szCs w:val="24"/>
        </w:rPr>
        <w:t xml:space="preserve"> </w:t>
      </w:r>
      <w:r w:rsidR="004E6D5F" w:rsidRPr="00FE4645">
        <w:rPr>
          <w:i/>
          <w:iCs/>
          <w:sz w:val="24"/>
          <w:szCs w:val="24"/>
        </w:rPr>
        <w:t>JAWS®</w:t>
      </w:r>
      <w:r w:rsidR="004E6D5F" w:rsidRPr="00FE4645">
        <w:rPr>
          <w:sz w:val="24"/>
          <w:szCs w:val="24"/>
        </w:rPr>
        <w:t xml:space="preserve">, </w:t>
      </w:r>
      <w:r w:rsidRPr="00FE4645">
        <w:rPr>
          <w:sz w:val="24"/>
          <w:szCs w:val="24"/>
        </w:rPr>
        <w:t xml:space="preserve">Freedom Scientific, </w:t>
      </w:r>
      <w:hyperlink r:id="rId22" w:history="1">
        <w:r w:rsidR="0025169E" w:rsidRPr="00FE4645">
          <w:rPr>
            <w:rStyle w:val="Hyperlink"/>
            <w:sz w:val="24"/>
            <w:szCs w:val="24"/>
          </w:rPr>
          <w:t>https://www.freedomscientific.com/products/software/jaws/</w:t>
        </w:r>
      </w:hyperlink>
      <w:r w:rsidRPr="00FE4645">
        <w:rPr>
          <w:sz w:val="24"/>
          <w:szCs w:val="24"/>
        </w:rPr>
        <w:t xml:space="preserve"> (last </w:t>
      </w:r>
      <w:r w:rsidR="002D484E" w:rsidRPr="00FE4645">
        <w:rPr>
          <w:sz w:val="24"/>
          <w:szCs w:val="24"/>
        </w:rPr>
        <w:t>accessed</w:t>
      </w:r>
      <w:r w:rsidRPr="00FE4645">
        <w:rPr>
          <w:sz w:val="24"/>
          <w:szCs w:val="24"/>
        </w:rPr>
        <w:t xml:space="preserve"> </w:t>
      </w:r>
      <w:r w:rsidR="00A378FE">
        <w:rPr>
          <w:sz w:val="24"/>
          <w:szCs w:val="24"/>
        </w:rPr>
        <w:t>June 14, 2022</w:t>
      </w:r>
      <w:r w:rsidRPr="00FE4645">
        <w:rPr>
          <w:sz w:val="24"/>
          <w:szCs w:val="24"/>
        </w:rPr>
        <w:t>).</w:t>
      </w:r>
    </w:p>
  </w:footnote>
  <w:footnote w:id="34">
    <w:p w14:paraId="623E87C4" w14:textId="7D28F5C4"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sz w:val="24"/>
          <w:szCs w:val="24"/>
        </w:rPr>
        <w:t xml:space="preserve">See </w:t>
      </w:r>
      <w:r w:rsidR="00A13C77" w:rsidRPr="00FE4645">
        <w:rPr>
          <w:i/>
          <w:iCs/>
          <w:sz w:val="24"/>
          <w:szCs w:val="24"/>
        </w:rPr>
        <w:t>Accessibility</w:t>
      </w:r>
      <w:r w:rsidR="00A13C77" w:rsidRPr="00FE4645">
        <w:rPr>
          <w:sz w:val="24"/>
          <w:szCs w:val="24"/>
        </w:rPr>
        <w:t xml:space="preserve">, </w:t>
      </w:r>
      <w:r w:rsidRPr="00FE4645">
        <w:rPr>
          <w:sz w:val="24"/>
          <w:szCs w:val="24"/>
        </w:rPr>
        <w:t xml:space="preserve">Apple, </w:t>
      </w:r>
      <w:hyperlink r:id="rId23" w:history="1">
        <w:r w:rsidR="003E0C96" w:rsidRPr="00FE4645">
          <w:rPr>
            <w:rStyle w:val="Hyperlink"/>
            <w:sz w:val="24"/>
            <w:szCs w:val="24"/>
          </w:rPr>
          <w:t>https://www.apple.com/accessibility/vision/</w:t>
        </w:r>
      </w:hyperlink>
      <w:r w:rsidR="003E0C96" w:rsidRPr="00FE4645">
        <w:rPr>
          <w:sz w:val="24"/>
          <w:szCs w:val="24"/>
        </w:rPr>
        <w:t xml:space="preserve"> </w:t>
      </w:r>
      <w:r w:rsidRPr="00FE4645">
        <w:rPr>
          <w:sz w:val="24"/>
          <w:szCs w:val="24"/>
        </w:rPr>
        <w:t xml:space="preserve">(last accessed </w:t>
      </w:r>
      <w:r w:rsidR="00A378FE">
        <w:rPr>
          <w:sz w:val="24"/>
          <w:szCs w:val="24"/>
        </w:rPr>
        <w:t>June 14, 2022</w:t>
      </w:r>
      <w:r w:rsidRPr="00FE4645">
        <w:rPr>
          <w:sz w:val="24"/>
          <w:szCs w:val="24"/>
        </w:rPr>
        <w:t>).</w:t>
      </w:r>
    </w:p>
  </w:footnote>
  <w:footnote w:id="35">
    <w:p w14:paraId="0DD35CFB" w14:textId="77777777" w:rsidR="00405537" w:rsidRPr="00FE4645" w:rsidRDefault="00405537" w:rsidP="00051F73">
      <w:pPr>
        <w:pStyle w:val="FootnoteText"/>
        <w:spacing w:after="120"/>
        <w:jc w:val="both"/>
        <w:rPr>
          <w:sz w:val="24"/>
          <w:szCs w:val="24"/>
        </w:rPr>
      </w:pPr>
      <w:r w:rsidRPr="00FE4645">
        <w:rPr>
          <w:rStyle w:val="FootnoteReference"/>
          <w:sz w:val="24"/>
          <w:szCs w:val="24"/>
        </w:rPr>
        <w:footnoteRef/>
      </w:r>
      <w:r w:rsidRPr="00FE4645">
        <w:rPr>
          <w:sz w:val="24"/>
          <w:szCs w:val="24"/>
        </w:rPr>
        <w:t xml:space="preserve"> </w:t>
      </w:r>
      <w:r w:rsidRPr="00FE4645">
        <w:rPr>
          <w:sz w:val="24"/>
          <w:szCs w:val="24"/>
        </w:rPr>
        <w:tab/>
      </w:r>
      <w:r w:rsidRPr="00FE4645">
        <w:rPr>
          <w:i/>
          <w:iCs/>
          <w:sz w:val="24"/>
          <w:szCs w:val="24"/>
        </w:rPr>
        <w:t>See</w:t>
      </w:r>
      <w:r w:rsidRPr="00FE4645">
        <w:rPr>
          <w:sz w:val="24"/>
          <w:szCs w:val="24"/>
        </w:rPr>
        <w:t xml:space="preserve"> Google, Android Accessibility Help: </w:t>
      </w:r>
      <w:proofErr w:type="spellStart"/>
      <w:r w:rsidRPr="00FE4645">
        <w:rPr>
          <w:sz w:val="24"/>
          <w:szCs w:val="24"/>
        </w:rPr>
        <w:t>TalkBack</w:t>
      </w:r>
      <w:proofErr w:type="spellEnd"/>
      <w:r w:rsidRPr="00FE4645">
        <w:rPr>
          <w:sz w:val="24"/>
          <w:szCs w:val="24"/>
        </w:rPr>
        <w:t xml:space="preserve">: Get Started on Android with </w:t>
      </w:r>
      <w:proofErr w:type="spellStart"/>
      <w:r w:rsidRPr="00FE4645">
        <w:rPr>
          <w:sz w:val="24"/>
          <w:szCs w:val="24"/>
        </w:rPr>
        <w:t>TalkBack</w:t>
      </w:r>
      <w:proofErr w:type="spellEnd"/>
      <w:r w:rsidRPr="00FE4645">
        <w:rPr>
          <w:sz w:val="24"/>
          <w:szCs w:val="24"/>
        </w:rPr>
        <w:t xml:space="preserve">, </w:t>
      </w:r>
      <w:hyperlink r:id="rId24" w:history="1">
        <w:r w:rsidRPr="00FE4645">
          <w:rPr>
            <w:rStyle w:val="Hyperlink"/>
            <w:sz w:val="24"/>
            <w:szCs w:val="24"/>
          </w:rPr>
          <w:t>https://support.google.com/accessibility/android/answer/6283677?hl=en</w:t>
        </w:r>
      </w:hyperlink>
      <w:r w:rsidRPr="00FE4645">
        <w:rPr>
          <w:sz w:val="24"/>
          <w:szCs w:val="24"/>
        </w:rPr>
        <w:t xml:space="preserve"> (last visited July 20, 2020).</w:t>
      </w:r>
    </w:p>
  </w:footnote>
  <w:footnote w:id="36">
    <w:p w14:paraId="445D8CF0" w14:textId="147EB20A" w:rsidR="004519FC" w:rsidRPr="00FE4645" w:rsidRDefault="004519FC"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sz w:val="24"/>
          <w:szCs w:val="24"/>
        </w:rPr>
        <w:t>See</w:t>
      </w:r>
      <w:r w:rsidRPr="00FE4645">
        <w:rPr>
          <w:iCs/>
          <w:sz w:val="24"/>
          <w:szCs w:val="24"/>
        </w:rPr>
        <w:t xml:space="preserve"> Custom Ink, Homepage,</w:t>
      </w:r>
      <w:r w:rsidRPr="00FE4645">
        <w:rPr>
          <w:sz w:val="24"/>
          <w:szCs w:val="24"/>
        </w:rPr>
        <w:t xml:space="preserve"> </w:t>
      </w:r>
      <w:hyperlink r:id="rId25" w:history="1">
        <w:r w:rsidRPr="00FE4645">
          <w:rPr>
            <w:rStyle w:val="Hyperlink"/>
            <w:sz w:val="24"/>
            <w:szCs w:val="24"/>
          </w:rPr>
          <w:t>https://www.customink.com/</w:t>
        </w:r>
      </w:hyperlink>
      <w:r w:rsidRPr="00FE4645">
        <w:rPr>
          <w:sz w:val="24"/>
          <w:szCs w:val="24"/>
        </w:rPr>
        <w:t xml:space="preserve"> (last accessed Mar. 28, 2019).</w:t>
      </w:r>
    </w:p>
  </w:footnote>
  <w:footnote w:id="37">
    <w:p w14:paraId="49B8C1AC" w14:textId="6AC4B03D"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proofErr w:type="spellStart"/>
      <w:r w:rsidR="008E4293" w:rsidRPr="00FE4645">
        <w:rPr>
          <w:sz w:val="24"/>
          <w:szCs w:val="24"/>
        </w:rPr>
        <w:t>Wehrum</w:t>
      </w:r>
      <w:proofErr w:type="spellEnd"/>
      <w:r w:rsidRPr="00FE4645">
        <w:rPr>
          <w:sz w:val="24"/>
          <w:szCs w:val="24"/>
        </w:rPr>
        <w:t xml:space="preserve">, </w:t>
      </w:r>
      <w:r w:rsidRPr="00FE4645">
        <w:rPr>
          <w:i/>
          <w:iCs/>
          <w:sz w:val="24"/>
          <w:szCs w:val="24"/>
        </w:rPr>
        <w:t>supra</w:t>
      </w:r>
      <w:r w:rsidRPr="00FE4645">
        <w:rPr>
          <w:sz w:val="24"/>
          <w:szCs w:val="24"/>
        </w:rPr>
        <w:t xml:space="preserve"> note 1</w:t>
      </w:r>
      <w:r w:rsidR="008E4293" w:rsidRPr="00FE4645">
        <w:rPr>
          <w:sz w:val="24"/>
          <w:szCs w:val="24"/>
        </w:rPr>
        <w:t>0</w:t>
      </w:r>
      <w:r w:rsidRPr="00FE4645">
        <w:rPr>
          <w:sz w:val="24"/>
          <w:szCs w:val="24"/>
        </w:rPr>
        <w:t>.</w:t>
      </w:r>
    </w:p>
  </w:footnote>
  <w:footnote w:id="38">
    <w:p w14:paraId="14867E58" w14:textId="16A9F2CC"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proofErr w:type="spellStart"/>
      <w:r w:rsidR="001E04E1" w:rsidRPr="00FE4645">
        <w:rPr>
          <w:i/>
          <w:iCs/>
          <w:sz w:val="24"/>
          <w:szCs w:val="24"/>
        </w:rPr>
        <w:t>Norkunas</w:t>
      </w:r>
      <w:proofErr w:type="spellEnd"/>
      <w:r w:rsidR="001E04E1" w:rsidRPr="00FE4645">
        <w:rPr>
          <w:i/>
          <w:iCs/>
          <w:sz w:val="24"/>
          <w:szCs w:val="24"/>
        </w:rPr>
        <w:t xml:space="preserve"> v. HPT Cambridge, LLC</w:t>
      </w:r>
      <w:r w:rsidR="001E04E1" w:rsidRPr="00FE4645">
        <w:rPr>
          <w:sz w:val="24"/>
          <w:szCs w:val="24"/>
        </w:rPr>
        <w:t>, 969 F. Supp. 2d 184, 194 (D. Mass. 2013) (Young, J.) (</w:t>
      </w:r>
      <w:r w:rsidR="001E04E1" w:rsidRPr="00FE4645">
        <w:rPr>
          <w:i/>
          <w:iCs/>
          <w:sz w:val="24"/>
          <w:szCs w:val="24"/>
        </w:rPr>
        <w:t>quoting Iverson v. Braintree Prop. Assocs</w:t>
      </w:r>
      <w:r w:rsidR="001E04E1" w:rsidRPr="00FE4645">
        <w:rPr>
          <w:sz w:val="24"/>
          <w:szCs w:val="24"/>
        </w:rPr>
        <w:t>., L.P., No. 04-cv-12079-NG, 2008 WL 552652, at *3 n.5 (D. Mass. Feb. 26, 2008) (</w:t>
      </w:r>
      <w:proofErr w:type="spellStart"/>
      <w:r w:rsidR="001E04E1" w:rsidRPr="00FE4645">
        <w:rPr>
          <w:sz w:val="24"/>
          <w:szCs w:val="24"/>
        </w:rPr>
        <w:t>Gertner</w:t>
      </w:r>
      <w:proofErr w:type="spellEnd"/>
      <w:r w:rsidR="001E04E1" w:rsidRPr="00FE4645">
        <w:rPr>
          <w:sz w:val="24"/>
          <w:szCs w:val="24"/>
        </w:rPr>
        <w:t>, J.))</w:t>
      </w:r>
      <w:r w:rsidRPr="00FE4645">
        <w:rPr>
          <w:sz w:val="24"/>
          <w:szCs w:val="24"/>
        </w:rPr>
        <w:t>.</w:t>
      </w:r>
    </w:p>
  </w:footnote>
  <w:footnote w:id="39">
    <w:p w14:paraId="7D1E85AB" w14:textId="10D43F79"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iCs/>
          <w:sz w:val="24"/>
          <w:szCs w:val="24"/>
        </w:rPr>
        <w:t>Olmstead v. L.C. ex rel. Zimring</w:t>
      </w:r>
      <w:r w:rsidRPr="00FE4645">
        <w:rPr>
          <w:sz w:val="24"/>
          <w:szCs w:val="24"/>
        </w:rPr>
        <w:t>, 527 U.S. 581, 589 (1999) (</w:t>
      </w:r>
      <w:r w:rsidRPr="00FE4645">
        <w:rPr>
          <w:i/>
          <w:iCs/>
          <w:sz w:val="24"/>
          <w:szCs w:val="24"/>
        </w:rPr>
        <w:t>quoting</w:t>
      </w:r>
      <w:r w:rsidRPr="00FE4645">
        <w:rPr>
          <w:sz w:val="24"/>
          <w:szCs w:val="24"/>
        </w:rPr>
        <w:t xml:space="preserve"> 42 U.S.C. § 12101(b)(1)).</w:t>
      </w:r>
    </w:p>
  </w:footnote>
  <w:footnote w:id="40">
    <w:p w14:paraId="2F7D34C8" w14:textId="3993C3BF"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12182(a).</w:t>
      </w:r>
    </w:p>
  </w:footnote>
  <w:footnote w:id="41">
    <w:p w14:paraId="353CBCB5" w14:textId="74C95877"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28 C.F.R. § 36.303(c)(1); </w:t>
      </w:r>
      <w:r w:rsidRPr="00FE4645">
        <w:rPr>
          <w:i/>
          <w:iCs/>
          <w:sz w:val="24"/>
          <w:szCs w:val="24"/>
        </w:rPr>
        <w:t xml:space="preserve">see </w:t>
      </w:r>
      <w:proofErr w:type="spellStart"/>
      <w:r w:rsidRPr="00FE4645">
        <w:rPr>
          <w:i/>
          <w:iCs/>
          <w:sz w:val="24"/>
          <w:szCs w:val="24"/>
        </w:rPr>
        <w:t>Bragdon</w:t>
      </w:r>
      <w:proofErr w:type="spellEnd"/>
      <w:r w:rsidRPr="00FE4645">
        <w:rPr>
          <w:i/>
          <w:iCs/>
          <w:sz w:val="24"/>
          <w:szCs w:val="24"/>
        </w:rPr>
        <w:t xml:space="preserve"> v. Abbott</w:t>
      </w:r>
      <w:r w:rsidRPr="00FE4645">
        <w:rPr>
          <w:sz w:val="24"/>
          <w:szCs w:val="24"/>
        </w:rPr>
        <w:t>, 524 U.S. 624, 646 (1998) (holding that DOJ’s administrative guidance on ADA compliance is entitled to deference).</w:t>
      </w:r>
    </w:p>
  </w:footnote>
  <w:footnote w:id="42">
    <w:p w14:paraId="4139C1EA" w14:textId="6B53C484"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28 C.F.R. § 36.303(b)(2).</w:t>
      </w:r>
    </w:p>
  </w:footnote>
  <w:footnote w:id="43">
    <w:p w14:paraId="538A82E9" w14:textId="07A6DC64"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28 C.F.R. § 36.303.</w:t>
      </w:r>
    </w:p>
  </w:footnote>
  <w:footnote w:id="44">
    <w:p w14:paraId="61369ECB" w14:textId="2761931D"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12181(7)(E), (F).</w:t>
      </w:r>
    </w:p>
  </w:footnote>
  <w:footnote w:id="45">
    <w:p w14:paraId="491AEE29" w14:textId="65558E82"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12182(b)(2)(A)(iii).</w:t>
      </w:r>
    </w:p>
  </w:footnote>
  <w:footnote w:id="46">
    <w:p w14:paraId="6D5DC38A" w14:textId="1E48FC4D"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42 U.S.C. § 12182(a).</w:t>
      </w:r>
    </w:p>
  </w:footnote>
  <w:footnote w:id="47">
    <w:p w14:paraId="211BE151" w14:textId="7103DF1A"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12182(b)(2)(A)(iii).</w:t>
      </w:r>
    </w:p>
  </w:footnote>
  <w:footnote w:id="48">
    <w:p w14:paraId="5845FF0E" w14:textId="3C92CD13" w:rsidR="00C73108"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Letter from Deval L. Patrick, Assistant Attorney General, Civil Rights Division, Department of Justice, to Tom Harkin, U.S. Senator (Sept. 9, 1996), </w:t>
      </w:r>
    </w:p>
    <w:p w14:paraId="7048E488" w14:textId="0F7F14B9" w:rsidR="009C7A6B" w:rsidRPr="00FE4645" w:rsidRDefault="009C7A6B" w:rsidP="00051F73">
      <w:pPr>
        <w:pStyle w:val="FootnoteText"/>
        <w:jc w:val="both"/>
        <w:rPr>
          <w:sz w:val="24"/>
          <w:szCs w:val="24"/>
          <w:highlight w:val="yellow"/>
        </w:rPr>
      </w:pPr>
      <w:r w:rsidRPr="00FE4645">
        <w:rPr>
          <w:sz w:val="24"/>
          <w:szCs w:val="24"/>
        </w:rPr>
        <w:t xml:space="preserve"> </w:t>
      </w:r>
      <w:hyperlink r:id="rId26" w:history="1">
        <w:r w:rsidRPr="00FE4645">
          <w:rPr>
            <w:rStyle w:val="Hyperlink"/>
            <w:sz w:val="24"/>
            <w:szCs w:val="24"/>
          </w:rPr>
          <w:t>https://www.justice.gov/crt/foia/file/666366/download</w:t>
        </w:r>
      </w:hyperlink>
      <w:r w:rsidRPr="00FE4645">
        <w:rPr>
          <w:sz w:val="24"/>
          <w:szCs w:val="24"/>
        </w:rPr>
        <w:t xml:space="preserve"> (last accessed </w:t>
      </w:r>
      <w:r w:rsidR="00A378FE">
        <w:rPr>
          <w:sz w:val="24"/>
          <w:szCs w:val="24"/>
        </w:rPr>
        <w:t>June 14, 2022</w:t>
      </w:r>
      <w:r w:rsidRPr="00FE4645">
        <w:rPr>
          <w:sz w:val="24"/>
          <w:szCs w:val="24"/>
        </w:rPr>
        <w:t>)</w:t>
      </w:r>
      <w:r w:rsidR="00C73108" w:rsidRPr="00FE4645">
        <w:rPr>
          <w:sz w:val="24"/>
          <w:szCs w:val="24"/>
        </w:rPr>
        <w:t>.</w:t>
      </w:r>
    </w:p>
  </w:footnote>
  <w:footnote w:id="49">
    <w:p w14:paraId="6EA48746" w14:textId="66D229A4"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75 Fed. Reg. 43460-01, 43464 (July 26, 2010).</w:t>
      </w:r>
    </w:p>
  </w:footnote>
  <w:footnote w:id="50">
    <w:p w14:paraId="37742E91" w14:textId="6223D2D7"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Brief of the United States as Amicus Curiae in Support of Appellant, </w:t>
      </w:r>
      <w:r w:rsidRPr="00FE4645">
        <w:rPr>
          <w:i/>
          <w:iCs/>
          <w:sz w:val="24"/>
          <w:szCs w:val="24"/>
        </w:rPr>
        <w:t xml:space="preserve">Hooks v. </w:t>
      </w:r>
      <w:proofErr w:type="spellStart"/>
      <w:r w:rsidRPr="00FE4645">
        <w:rPr>
          <w:i/>
          <w:iCs/>
          <w:sz w:val="24"/>
          <w:szCs w:val="24"/>
        </w:rPr>
        <w:t>O</w:t>
      </w:r>
      <w:r w:rsidR="000E5B71" w:rsidRPr="00FE4645">
        <w:rPr>
          <w:i/>
          <w:iCs/>
          <w:sz w:val="24"/>
          <w:szCs w:val="24"/>
        </w:rPr>
        <w:t>kb</w:t>
      </w:r>
      <w:r w:rsidRPr="00FE4645">
        <w:rPr>
          <w:i/>
          <w:iCs/>
          <w:sz w:val="24"/>
          <w:szCs w:val="24"/>
        </w:rPr>
        <w:t>ridge</w:t>
      </w:r>
      <w:proofErr w:type="spellEnd"/>
      <w:r w:rsidRPr="00FE4645">
        <w:rPr>
          <w:i/>
          <w:iCs/>
          <w:sz w:val="24"/>
          <w:szCs w:val="24"/>
        </w:rPr>
        <w:t>, Inc.</w:t>
      </w:r>
      <w:r w:rsidRPr="00FE4645">
        <w:rPr>
          <w:sz w:val="24"/>
          <w:szCs w:val="24"/>
        </w:rPr>
        <w:t xml:space="preserve">, No. 99-50891 (5th Cir. June 30, 2000), </w:t>
      </w:r>
      <w:hyperlink r:id="rId27" w:history="1">
        <w:r w:rsidRPr="00FE4645">
          <w:rPr>
            <w:rStyle w:val="Hyperlink"/>
            <w:sz w:val="24"/>
            <w:szCs w:val="24"/>
          </w:rPr>
          <w:t>https://www.justice.gov/sites/default/files/crt/legacy/2010/12/14/hooks.pdf</w:t>
        </w:r>
      </w:hyperlink>
      <w:r w:rsidRPr="00FE4645">
        <w:rPr>
          <w:sz w:val="24"/>
          <w:szCs w:val="24"/>
        </w:rPr>
        <w:t xml:space="preserve"> (last accessed </w:t>
      </w:r>
      <w:r w:rsidR="00A378FE">
        <w:rPr>
          <w:sz w:val="24"/>
          <w:szCs w:val="24"/>
        </w:rPr>
        <w:t>June 14, 2022</w:t>
      </w:r>
      <w:r w:rsidRPr="00FE4645">
        <w:rPr>
          <w:sz w:val="24"/>
          <w:szCs w:val="24"/>
        </w:rPr>
        <w:t>) (“A COMMERCIAL BUSINESS PROVIDING SERVICES SOLELY OVER THE INTERNET IS SUBJECT TO THE ADA’S PROHIBITION AGAINST DISCRIMINATION ON THE BASIS OF DISABILITY.”) (</w:t>
      </w:r>
      <w:proofErr w:type="gramStart"/>
      <w:r w:rsidRPr="00FE4645">
        <w:rPr>
          <w:sz w:val="24"/>
          <w:szCs w:val="24"/>
        </w:rPr>
        <w:t>emphasis</w:t>
      </w:r>
      <w:proofErr w:type="gramEnd"/>
      <w:r w:rsidRPr="00FE4645">
        <w:rPr>
          <w:sz w:val="24"/>
          <w:szCs w:val="24"/>
        </w:rPr>
        <w:t xml:space="preserve"> in original).</w:t>
      </w:r>
    </w:p>
  </w:footnote>
  <w:footnote w:id="51">
    <w:p w14:paraId="7F2B3F92" w14:textId="5948C432"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Brief for the United States as Amicus Curiae in Support of Appellant, </w:t>
      </w:r>
      <w:r w:rsidRPr="00FE4645">
        <w:rPr>
          <w:i/>
          <w:iCs/>
          <w:sz w:val="24"/>
          <w:szCs w:val="24"/>
        </w:rPr>
        <w:t xml:space="preserve">Rendon v. </w:t>
      </w:r>
      <w:proofErr w:type="spellStart"/>
      <w:r w:rsidRPr="00FE4645">
        <w:rPr>
          <w:i/>
          <w:iCs/>
          <w:sz w:val="24"/>
          <w:szCs w:val="24"/>
        </w:rPr>
        <w:t>Valleycrest</w:t>
      </w:r>
      <w:proofErr w:type="spellEnd"/>
      <w:r w:rsidRPr="00FE4645">
        <w:rPr>
          <w:i/>
          <w:iCs/>
          <w:sz w:val="24"/>
          <w:szCs w:val="24"/>
        </w:rPr>
        <w:t xml:space="preserve"> Productions, Inc.</w:t>
      </w:r>
      <w:r w:rsidRPr="00FE4645">
        <w:rPr>
          <w:sz w:val="24"/>
          <w:szCs w:val="24"/>
        </w:rPr>
        <w:t>, No. 01-11197, 294 F.3d 1279 (11th Cir. 2002), </w:t>
      </w:r>
      <w:hyperlink r:id="rId28" w:history="1">
        <w:r w:rsidRPr="00FE4645">
          <w:rPr>
            <w:rStyle w:val="Hyperlink"/>
            <w:sz w:val="24"/>
            <w:szCs w:val="24"/>
          </w:rPr>
          <w:t>https://www.justice.gov/sites/default/files/crt/legacy/2010/12/14/rendon.pdf</w:t>
        </w:r>
      </w:hyperlink>
      <w:r w:rsidRPr="00FE4645">
        <w:rPr>
          <w:sz w:val="24"/>
          <w:szCs w:val="24"/>
        </w:rPr>
        <w:t xml:space="preserve"> (last accessed </w:t>
      </w:r>
      <w:r w:rsidR="00A378FE">
        <w:rPr>
          <w:sz w:val="24"/>
          <w:szCs w:val="24"/>
        </w:rPr>
        <w:t>June 14, 2022</w:t>
      </w:r>
      <w:r w:rsidRPr="00FE4645">
        <w:rPr>
          <w:sz w:val="24"/>
          <w:szCs w:val="24"/>
        </w:rPr>
        <w:t>).</w:t>
      </w:r>
    </w:p>
  </w:footnote>
  <w:footnote w:id="52">
    <w:p w14:paraId="3932CE82" w14:textId="092B07F0"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iCs/>
          <w:sz w:val="24"/>
          <w:szCs w:val="24"/>
        </w:rPr>
        <w:t xml:space="preserve">See </w:t>
      </w:r>
      <w:r w:rsidRPr="00FE4645">
        <w:rPr>
          <w:sz w:val="24"/>
          <w:szCs w:val="24"/>
        </w:rPr>
        <w:t xml:space="preserve">Settlement Agreement Between the United States of America and Ahold U.S.A., Inc. and Peapod, LLC, DJ 202-63-169 (Nov. 17, 2014), </w:t>
      </w:r>
      <w:hyperlink r:id="rId29" w:history="1">
        <w:r w:rsidRPr="00FE4645">
          <w:rPr>
            <w:rStyle w:val="Hyperlink"/>
            <w:sz w:val="24"/>
            <w:szCs w:val="24"/>
          </w:rPr>
          <w:t>https://www.justice.gov/file/163956/download</w:t>
        </w:r>
      </w:hyperlink>
      <w:r w:rsidRPr="00FE4645">
        <w:rPr>
          <w:sz w:val="24"/>
          <w:szCs w:val="24"/>
        </w:rPr>
        <w:t xml:space="preserve"> (last accessed </w:t>
      </w:r>
      <w:r w:rsidR="00A378FE">
        <w:rPr>
          <w:sz w:val="24"/>
          <w:szCs w:val="24"/>
        </w:rPr>
        <w:t>June 14, 2022</w:t>
      </w:r>
      <w:r w:rsidRPr="00FE4645">
        <w:rPr>
          <w:sz w:val="24"/>
          <w:szCs w:val="24"/>
        </w:rPr>
        <w:t>).</w:t>
      </w:r>
    </w:p>
  </w:footnote>
  <w:footnote w:id="53">
    <w:p w14:paraId="6D291E7A" w14:textId="671194C3"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bookmarkStart w:id="36" w:name="_Hlk36613685"/>
      <w:r w:rsidRPr="00FE4645">
        <w:rPr>
          <w:i/>
          <w:sz w:val="24"/>
          <w:szCs w:val="24"/>
        </w:rPr>
        <w:t>See</w:t>
      </w:r>
      <w:r w:rsidRPr="00FE4645">
        <w:rPr>
          <w:sz w:val="24"/>
          <w:szCs w:val="24"/>
        </w:rPr>
        <w:t xml:space="preserve"> Letter from Assistant Attorney General Stephen E. Boyd, U.S. Department of Justice, to Congressman Ted Budd, U.S. House of Representatives (Sept. 25, 2018), </w:t>
      </w:r>
      <w:hyperlink r:id="rId30" w:history="1">
        <w:r w:rsidRPr="00FE4645">
          <w:rPr>
            <w:rStyle w:val="Hyperlink"/>
            <w:sz w:val="24"/>
            <w:szCs w:val="24"/>
          </w:rPr>
          <w:t>https://www.adatitleiii.com/wp-content/uploads/sites/121/2018/10/DOJ-letter-to-congress.pdf</w:t>
        </w:r>
      </w:hyperlink>
      <w:r w:rsidRPr="00FE4645">
        <w:rPr>
          <w:sz w:val="24"/>
          <w:szCs w:val="24"/>
        </w:rPr>
        <w:t xml:space="preserve"> (last accessed </w:t>
      </w:r>
      <w:r w:rsidR="00A378FE">
        <w:rPr>
          <w:sz w:val="24"/>
          <w:szCs w:val="24"/>
        </w:rPr>
        <w:t>June 14, 2022</w:t>
      </w:r>
      <w:bookmarkEnd w:id="36"/>
      <w:r w:rsidRPr="00FE4645">
        <w:rPr>
          <w:sz w:val="24"/>
          <w:szCs w:val="24"/>
        </w:rPr>
        <w:t>).</w:t>
      </w:r>
    </w:p>
  </w:footnote>
  <w:footnote w:id="54">
    <w:p w14:paraId="5A7603A2" w14:textId="7402AA85"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r w:rsidRPr="00FE4645">
        <w:rPr>
          <w:i/>
          <w:sz w:val="24"/>
          <w:szCs w:val="24"/>
        </w:rPr>
        <w:t xml:space="preserve">See </w:t>
      </w:r>
      <w:r w:rsidRPr="00FE4645">
        <w:rPr>
          <w:rStyle w:val="Hyperlink"/>
          <w:i/>
          <w:color w:val="auto"/>
          <w:sz w:val="24"/>
          <w:szCs w:val="24"/>
          <w:u w:val="none"/>
        </w:rPr>
        <w:t>Robles v. Domino’s Pizza, LLC</w:t>
      </w:r>
      <w:r w:rsidRPr="00FE4645">
        <w:rPr>
          <w:rStyle w:val="Hyperlink"/>
          <w:color w:val="auto"/>
          <w:sz w:val="24"/>
          <w:szCs w:val="24"/>
          <w:u w:val="none"/>
        </w:rPr>
        <w:t>, 913 F.3d 898 (9th Cir. 2019)</w:t>
      </w:r>
      <w:r w:rsidR="007B1503" w:rsidRPr="00FE4645">
        <w:rPr>
          <w:rStyle w:val="Hyperlink"/>
          <w:color w:val="auto"/>
          <w:sz w:val="24"/>
          <w:szCs w:val="24"/>
          <w:u w:val="none"/>
        </w:rPr>
        <w:t>,</w:t>
      </w:r>
      <w:r w:rsidRPr="00FE4645">
        <w:rPr>
          <w:sz w:val="24"/>
          <w:szCs w:val="24"/>
        </w:rPr>
        <w:t xml:space="preserve"> </w:t>
      </w:r>
      <w:r w:rsidRPr="00FE4645">
        <w:rPr>
          <w:i/>
          <w:iCs/>
          <w:sz w:val="24"/>
          <w:szCs w:val="24"/>
        </w:rPr>
        <w:t>cert. denied</w:t>
      </w:r>
      <w:r w:rsidR="007B1503" w:rsidRPr="00FE4645">
        <w:rPr>
          <w:sz w:val="24"/>
          <w:szCs w:val="24"/>
        </w:rPr>
        <w:t>,</w:t>
      </w:r>
      <w:r w:rsidRPr="00FE4645">
        <w:rPr>
          <w:sz w:val="24"/>
          <w:szCs w:val="24"/>
        </w:rPr>
        <w:t xml:space="preserve"> </w:t>
      </w:r>
      <w:r w:rsidR="00107459" w:rsidRPr="00FE4645">
        <w:rPr>
          <w:sz w:val="24"/>
          <w:szCs w:val="24"/>
        </w:rPr>
        <w:t xml:space="preserve">140 S. Ct. 122 </w:t>
      </w:r>
      <w:r w:rsidRPr="00FE4645">
        <w:rPr>
          <w:sz w:val="24"/>
          <w:szCs w:val="24"/>
        </w:rPr>
        <w:t>(2019) (No. 18-1539).</w:t>
      </w:r>
    </w:p>
  </w:footnote>
  <w:footnote w:id="55">
    <w:p w14:paraId="1962530C" w14:textId="0D126D08" w:rsidR="00051F73" w:rsidRPr="00FE4645" w:rsidRDefault="00051F73" w:rsidP="00051F73">
      <w:pPr>
        <w:pStyle w:val="FootnoteText"/>
        <w:jc w:val="both"/>
        <w:rPr>
          <w:sz w:val="24"/>
          <w:szCs w:val="24"/>
        </w:rPr>
      </w:pPr>
      <w:r w:rsidRPr="00FE4645">
        <w:rPr>
          <w:rStyle w:val="FootnoteReference"/>
          <w:sz w:val="24"/>
          <w:szCs w:val="24"/>
        </w:rPr>
        <w:footnoteRef/>
      </w:r>
      <w:r w:rsidRPr="00FE4645">
        <w:rPr>
          <w:sz w:val="24"/>
          <w:szCs w:val="24"/>
        </w:rPr>
        <w:t xml:space="preserve"> U.S. Department of Justice, Civil Rights Division, </w:t>
      </w:r>
      <w:r w:rsidRPr="00FE4645">
        <w:rPr>
          <w:i/>
          <w:iCs/>
          <w:sz w:val="24"/>
          <w:szCs w:val="24"/>
        </w:rPr>
        <w:t>Guidance on Web Accessibility and the ADA</w:t>
      </w:r>
      <w:r w:rsidRPr="00FE4645">
        <w:rPr>
          <w:sz w:val="24"/>
          <w:szCs w:val="24"/>
        </w:rPr>
        <w:t xml:space="preserve">, Mar. 18, 2022, </w:t>
      </w:r>
      <w:hyperlink r:id="rId31" w:history="1">
        <w:r w:rsidRPr="00FE4645">
          <w:rPr>
            <w:rStyle w:val="Hyperlink"/>
            <w:sz w:val="24"/>
            <w:szCs w:val="24"/>
          </w:rPr>
          <w:t>https://beta.ada.gov/web-guidance/</w:t>
        </w:r>
      </w:hyperlink>
      <w:r w:rsidRPr="00FE4645">
        <w:rPr>
          <w:sz w:val="24"/>
          <w:szCs w:val="24"/>
        </w:rPr>
        <w:t xml:space="preserve"> (last accessed </w:t>
      </w:r>
      <w:r w:rsidR="00A378FE">
        <w:rPr>
          <w:sz w:val="24"/>
          <w:szCs w:val="24"/>
        </w:rPr>
        <w:t>June 14, 2022</w:t>
      </w:r>
      <w:r w:rsidRPr="00FE4645">
        <w:rPr>
          <w:sz w:val="24"/>
          <w:szCs w:val="24"/>
        </w:rPr>
        <w:t>).</w:t>
      </w:r>
    </w:p>
  </w:footnote>
  <w:footnote w:id="56">
    <w:p w14:paraId="45FB6B13" w14:textId="2554A97A"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12182(a).</w:t>
      </w:r>
    </w:p>
  </w:footnote>
  <w:footnote w:id="57">
    <w:p w14:paraId="2A862B03" w14:textId="3BF67C38"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12182; 28 C.F.R. § 36.201.</w:t>
      </w:r>
    </w:p>
  </w:footnote>
  <w:footnote w:id="58">
    <w:p w14:paraId="60F912AC" w14:textId="7A085472"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28 C.F.R.</w:t>
      </w:r>
      <w:r w:rsidR="00156916" w:rsidRPr="00FE4645">
        <w:rPr>
          <w:sz w:val="24"/>
          <w:szCs w:val="24"/>
        </w:rPr>
        <w:t xml:space="preserve"> </w:t>
      </w:r>
      <w:r w:rsidRPr="00FE4645">
        <w:rPr>
          <w:sz w:val="24"/>
          <w:szCs w:val="24"/>
        </w:rPr>
        <w:t>§ 36.303(c).</w:t>
      </w:r>
    </w:p>
  </w:footnote>
  <w:footnote w:id="59">
    <w:p w14:paraId="2417E291" w14:textId="2C9C8D08"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42 U.S.C. § 12181(7)(E), (F).</w:t>
      </w:r>
    </w:p>
  </w:footnote>
  <w:footnote w:id="60">
    <w:p w14:paraId="36E09040" w14:textId="7C86825D" w:rsidR="009C7A6B" w:rsidRPr="00FE4645" w:rsidRDefault="009C7A6B" w:rsidP="00051F73">
      <w:pPr>
        <w:pStyle w:val="FootnoteText"/>
        <w:jc w:val="both"/>
        <w:rPr>
          <w:sz w:val="24"/>
          <w:szCs w:val="24"/>
          <w:highlight w:val="yellow"/>
        </w:rPr>
      </w:pPr>
      <w:r w:rsidRPr="00FE4645">
        <w:rPr>
          <w:rStyle w:val="FootnoteReference"/>
          <w:sz w:val="24"/>
          <w:szCs w:val="24"/>
        </w:rPr>
        <w:footnoteRef/>
      </w:r>
      <w:r w:rsidRPr="00FE4645">
        <w:rPr>
          <w:sz w:val="24"/>
          <w:szCs w:val="24"/>
        </w:rPr>
        <w:t xml:space="preserve"> </w:t>
      </w:r>
      <w:bookmarkStart w:id="45" w:name="_Hlk38620932"/>
      <w:bookmarkStart w:id="46" w:name="_Hlk38620807"/>
      <w:r w:rsidRPr="00FE4645">
        <w:rPr>
          <w:sz w:val="24"/>
          <w:szCs w:val="24"/>
        </w:rPr>
        <w:t xml:space="preserve">The injunctive relief herein is consistent with a 2011 settlement agreement entered into between National Federation of the Blind and The Pennsylvania State University, available at </w:t>
      </w:r>
      <w:hyperlink r:id="rId32" w:history="1">
        <w:r w:rsidRPr="00FE4645">
          <w:rPr>
            <w:rStyle w:val="Hyperlink"/>
            <w:sz w:val="24"/>
            <w:szCs w:val="24"/>
          </w:rPr>
          <w:t>https://accessibility.psu.edu/nfbpsusettlement/</w:t>
        </w:r>
      </w:hyperlink>
      <w:r w:rsidRPr="00FE4645">
        <w:rPr>
          <w:sz w:val="24"/>
          <w:szCs w:val="24"/>
        </w:rPr>
        <w:t xml:space="preserve"> (last accessed </w:t>
      </w:r>
      <w:r w:rsidR="00A378FE">
        <w:rPr>
          <w:sz w:val="24"/>
          <w:szCs w:val="24"/>
        </w:rPr>
        <w:t>June 14, 2022</w:t>
      </w:r>
      <w:r w:rsidRPr="00FE4645">
        <w:rPr>
          <w:sz w:val="24"/>
          <w:szCs w:val="24"/>
        </w:rPr>
        <w:t xml:space="preserve">); a 2014 settlement agreement between the U.S. Department of Justice and Ahold U.S.A., Inc. and Peapod, LLC, </w:t>
      </w:r>
      <w:r w:rsidRPr="00FE4645">
        <w:rPr>
          <w:i/>
          <w:iCs/>
          <w:sz w:val="24"/>
          <w:szCs w:val="24"/>
        </w:rPr>
        <w:t>supra</w:t>
      </w:r>
      <w:r w:rsidRPr="00FE4645">
        <w:rPr>
          <w:sz w:val="24"/>
          <w:szCs w:val="24"/>
        </w:rPr>
        <w:t xml:space="preserve"> note 47; and a 2014 Resolution Agreement between the U.S. Department of Education and Youngstown State University, available at </w:t>
      </w:r>
      <w:hyperlink r:id="rId33" w:history="1">
        <w:r w:rsidRPr="00FE4645">
          <w:rPr>
            <w:rStyle w:val="Hyperlink"/>
            <w:sz w:val="24"/>
            <w:szCs w:val="24"/>
          </w:rPr>
          <w:t>https://www2.ed.gov/documents/press-releases/youngstown-state-university-agreement.pdf</w:t>
        </w:r>
      </w:hyperlink>
      <w:r w:rsidRPr="00FE4645">
        <w:rPr>
          <w:sz w:val="24"/>
          <w:szCs w:val="24"/>
        </w:rPr>
        <w:t xml:space="preserve"> (last accessed </w:t>
      </w:r>
      <w:r w:rsidR="00A378FE">
        <w:rPr>
          <w:sz w:val="24"/>
          <w:szCs w:val="24"/>
        </w:rPr>
        <w:t>June 14, 2022</w:t>
      </w:r>
      <w:bookmarkEnd w:id="45"/>
      <w:r w:rsidRPr="00FE4645">
        <w:rPr>
          <w:sz w:val="24"/>
          <w:szCs w:val="24"/>
        </w:rPr>
        <w:t>)</w:t>
      </w:r>
      <w:bookmarkEnd w:id="46"/>
      <w:r w:rsidRPr="00FE4645">
        <w:rPr>
          <w:sz w:val="24"/>
          <w:szCs w:val="24"/>
        </w:rPr>
        <w:t>.</w:t>
      </w:r>
    </w:p>
  </w:footnote>
  <w:footnote w:id="61">
    <w:p w14:paraId="600AA7E9" w14:textId="05423E47" w:rsidR="009C7A6B" w:rsidRPr="00FE4645" w:rsidRDefault="009C7A6B" w:rsidP="00051F73">
      <w:pPr>
        <w:pStyle w:val="FootnoteText"/>
        <w:jc w:val="both"/>
        <w:rPr>
          <w:sz w:val="24"/>
          <w:szCs w:val="24"/>
        </w:rPr>
      </w:pPr>
      <w:r w:rsidRPr="00FE4645">
        <w:rPr>
          <w:rStyle w:val="FootnoteReference"/>
          <w:sz w:val="24"/>
          <w:szCs w:val="24"/>
        </w:rPr>
        <w:footnoteRef/>
      </w:r>
      <w:r w:rsidRPr="00FE4645">
        <w:rPr>
          <w:sz w:val="24"/>
          <w:szCs w:val="24"/>
        </w:rPr>
        <w:t xml:space="preserve"> </w:t>
      </w:r>
      <w:r w:rsidR="00CE5D78" w:rsidRPr="00FE4645">
        <w:rPr>
          <w:i/>
          <w:iCs/>
          <w:sz w:val="24"/>
          <w:szCs w:val="24"/>
        </w:rPr>
        <w:t>See People Against Police Violence v. City of Pittsburgh</w:t>
      </w:r>
      <w:r w:rsidR="00CE5D78" w:rsidRPr="00FE4645">
        <w:rPr>
          <w:sz w:val="24"/>
          <w:szCs w:val="24"/>
        </w:rPr>
        <w:t>, 520 F.3d 226, 235 (3d Cir. 2008) (“This Court, like other Courts of Appeals, allows fees to be awarded for monitoring and enforcing Court orders and judgments.”); </w:t>
      </w:r>
      <w:r w:rsidR="00CE5D78" w:rsidRPr="00FE4645">
        <w:rPr>
          <w:i/>
          <w:iCs/>
          <w:sz w:val="24"/>
          <w:szCs w:val="24"/>
        </w:rPr>
        <w:t>Gniewkowski v. Lettuce Entertain You Enter</w:t>
      </w:r>
      <w:r w:rsidR="0048522D" w:rsidRPr="00FE4645">
        <w:rPr>
          <w:i/>
          <w:iCs/>
          <w:sz w:val="24"/>
          <w:szCs w:val="24"/>
        </w:rPr>
        <w:t>s.</w:t>
      </w:r>
      <w:r w:rsidR="00CE5D78" w:rsidRPr="00FE4645">
        <w:rPr>
          <w:i/>
          <w:iCs/>
          <w:sz w:val="24"/>
          <w:szCs w:val="24"/>
        </w:rPr>
        <w:t>, Inc.</w:t>
      </w:r>
      <w:r w:rsidR="00CE5D78" w:rsidRPr="00FE4645">
        <w:rPr>
          <w:sz w:val="24"/>
          <w:szCs w:val="24"/>
        </w:rPr>
        <w:t>, No. 2:16-cv-01898-AJS (W.D. Pa. Jan. 11, 2018) (ECF 191); </w:t>
      </w:r>
      <w:r w:rsidR="00CE5D78" w:rsidRPr="00FE4645">
        <w:rPr>
          <w:i/>
          <w:iCs/>
          <w:sz w:val="24"/>
          <w:szCs w:val="24"/>
        </w:rPr>
        <w:t>Access Now, Inc. v. Lax World, LLC</w:t>
      </w:r>
      <w:r w:rsidR="00CE5D78" w:rsidRPr="00FE4645">
        <w:rPr>
          <w:sz w:val="24"/>
          <w:szCs w:val="24"/>
        </w:rPr>
        <w:t>, No. 1:17-cv-10976-DJC (D. Mass. Apr. 17, 2018) (ECF 11); Amended Order Granting In Part Plaintiffs’ Motion For Attorneys’ Fees And Costs; Denying Administrative Motion To Seal, </w:t>
      </w:r>
      <w:proofErr w:type="spellStart"/>
      <w:r w:rsidR="00CE5D78" w:rsidRPr="00FE4645">
        <w:rPr>
          <w:i/>
          <w:iCs/>
          <w:sz w:val="24"/>
          <w:szCs w:val="24"/>
        </w:rPr>
        <w:t>Nat</w:t>
      </w:r>
      <w:r w:rsidR="0048522D" w:rsidRPr="00FE4645">
        <w:rPr>
          <w:i/>
          <w:iCs/>
          <w:sz w:val="24"/>
          <w:szCs w:val="24"/>
        </w:rPr>
        <w:t>’</w:t>
      </w:r>
      <w:r w:rsidR="00CE5D78" w:rsidRPr="00FE4645">
        <w:rPr>
          <w:i/>
          <w:iCs/>
          <w:sz w:val="24"/>
          <w:szCs w:val="24"/>
        </w:rPr>
        <w:t>l</w:t>
      </w:r>
      <w:proofErr w:type="spellEnd"/>
      <w:r w:rsidR="00CE5D78" w:rsidRPr="00FE4645">
        <w:rPr>
          <w:i/>
          <w:iCs/>
          <w:sz w:val="24"/>
          <w:szCs w:val="24"/>
        </w:rPr>
        <w:t xml:space="preserve"> </w:t>
      </w:r>
      <w:proofErr w:type="spellStart"/>
      <w:r w:rsidR="00CE5D78" w:rsidRPr="00FE4645">
        <w:rPr>
          <w:i/>
          <w:iCs/>
          <w:sz w:val="24"/>
          <w:szCs w:val="24"/>
        </w:rPr>
        <w:t>Fed</w:t>
      </w:r>
      <w:r w:rsidR="0048522D" w:rsidRPr="00FE4645">
        <w:rPr>
          <w:i/>
          <w:iCs/>
          <w:sz w:val="24"/>
          <w:szCs w:val="24"/>
        </w:rPr>
        <w:t>’</w:t>
      </w:r>
      <w:r w:rsidR="00CE5D78" w:rsidRPr="00FE4645">
        <w:rPr>
          <w:i/>
          <w:iCs/>
          <w:sz w:val="24"/>
          <w:szCs w:val="24"/>
        </w:rPr>
        <w:t>n</w:t>
      </w:r>
      <w:proofErr w:type="spellEnd"/>
      <w:r w:rsidR="00CE5D78" w:rsidRPr="00FE4645">
        <w:rPr>
          <w:i/>
          <w:iCs/>
          <w:sz w:val="24"/>
          <w:szCs w:val="24"/>
        </w:rPr>
        <w:t xml:space="preserve"> of the Blind of Cal</w:t>
      </w:r>
      <w:r w:rsidR="0048522D" w:rsidRPr="00FE4645">
        <w:rPr>
          <w:i/>
          <w:iCs/>
          <w:sz w:val="24"/>
          <w:szCs w:val="24"/>
        </w:rPr>
        <w:t>.</w:t>
      </w:r>
      <w:r w:rsidR="00CE5D78" w:rsidRPr="00FE4645">
        <w:rPr>
          <w:i/>
          <w:iCs/>
          <w:sz w:val="24"/>
          <w:szCs w:val="24"/>
        </w:rPr>
        <w:t xml:space="preserve"> v. Uber Techs</w:t>
      </w:r>
      <w:r w:rsidR="0048522D" w:rsidRPr="00FE4645">
        <w:rPr>
          <w:i/>
          <w:iCs/>
          <w:sz w:val="24"/>
          <w:szCs w:val="24"/>
        </w:rPr>
        <w:t>.</w:t>
      </w:r>
      <w:r w:rsidR="00CE5D78" w:rsidRPr="00FE4645">
        <w:rPr>
          <w:i/>
          <w:iCs/>
          <w:sz w:val="24"/>
          <w:szCs w:val="24"/>
        </w:rPr>
        <w:t>, Inc.</w:t>
      </w:r>
      <w:r w:rsidR="00CE5D78" w:rsidRPr="00FE4645">
        <w:rPr>
          <w:sz w:val="24"/>
          <w:szCs w:val="24"/>
        </w:rPr>
        <w:t>, No</w:t>
      </w:r>
      <w:r w:rsidR="00F03A86" w:rsidRPr="00FE4645">
        <w:rPr>
          <w:sz w:val="24"/>
          <w:szCs w:val="24"/>
        </w:rPr>
        <w:t>.</w:t>
      </w:r>
      <w:r w:rsidR="00CE5D78" w:rsidRPr="00FE4645">
        <w:rPr>
          <w:sz w:val="24"/>
          <w:szCs w:val="24"/>
        </w:rPr>
        <w:t xml:space="preserve"> </w:t>
      </w:r>
      <w:r w:rsidR="0048522D" w:rsidRPr="00FE4645">
        <w:rPr>
          <w:sz w:val="24"/>
          <w:szCs w:val="24"/>
        </w:rPr>
        <w:t>3:</w:t>
      </w:r>
      <w:r w:rsidR="00CE5D78" w:rsidRPr="00FE4645">
        <w:rPr>
          <w:sz w:val="24"/>
          <w:szCs w:val="24"/>
        </w:rPr>
        <w:t>14-cv-04086-NC (N.D. Cal. Nov. 8, 2019), </w:t>
      </w:r>
      <w:hyperlink r:id="rId34" w:tgtFrame="_blank" w:history="1">
        <w:r w:rsidR="00CE5D78" w:rsidRPr="00FE4645">
          <w:rPr>
            <w:rStyle w:val="Hyperlink"/>
            <w:sz w:val="24"/>
            <w:szCs w:val="24"/>
          </w:rPr>
          <w:t>https://rbgg.com/wp-content/uploads/NFB-v-Uber-Amended-Order-Granting-In-Part-Pltfs-Motion-for-Attys-Fees-and-Costs-11-08-19.pdf</w:t>
        </w:r>
      </w:hyperlink>
      <w:r w:rsidR="00CE5D78" w:rsidRPr="00FE4645">
        <w:rPr>
          <w:sz w:val="24"/>
          <w:szCs w:val="24"/>
        </w:rPr>
        <w:t xml:space="preserve"> (last accessed </w:t>
      </w:r>
      <w:r w:rsidR="00A378FE">
        <w:rPr>
          <w:sz w:val="24"/>
          <w:szCs w:val="24"/>
        </w:rPr>
        <w:t>June 14, 2022</w:t>
      </w:r>
      <w:r w:rsidR="00CE5D78" w:rsidRPr="00FE4645">
        <w:rPr>
          <w:sz w:val="24"/>
          <w:szCs w:val="24"/>
        </w:rPr>
        <w:t>) (finding plaintiffs “are entitled to reasonable attorneys’ fees incurred in connection with monitoring [defendant</w:t>
      </w:r>
      <w:r w:rsidR="00F03A86" w:rsidRPr="00FE4645">
        <w:rPr>
          <w:sz w:val="24"/>
          <w:szCs w:val="24"/>
        </w:rPr>
        <w:t>’</w:t>
      </w:r>
      <w:r w:rsidR="00CE5D78" w:rsidRPr="00FE4645">
        <w:rPr>
          <w:sz w:val="24"/>
          <w:szCs w:val="24"/>
        </w:rPr>
        <w:t>s] compliance with the Settlement” of a Title III ADA case).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2635C5"/>
    <w:multiLevelType w:val="hybridMultilevel"/>
    <w:tmpl w:val="8DAC6E0A"/>
    <w:lvl w:ilvl="0" w:tplc="0409000F">
      <w:start w:val="2"/>
      <w:numFmt w:val="decimal"/>
      <w:lvlText w:val="%1."/>
      <w:lvlJc w:val="left"/>
      <w:pPr>
        <w:ind w:left="720" w:hanging="360"/>
      </w:pPr>
      <w:rPr>
        <w:rFonts w:hint="default"/>
        <w:b w:val="0"/>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A12171"/>
    <w:multiLevelType w:val="hybridMultilevel"/>
    <w:tmpl w:val="3E5EF762"/>
    <w:lvl w:ilvl="0" w:tplc="EE7C94BA">
      <w:start w:val="1"/>
      <w:numFmt w:val="lowerLetter"/>
      <w:lvlText w:val="(%1)"/>
      <w:lvlJc w:val="left"/>
      <w:pPr>
        <w:tabs>
          <w:tab w:val="num" w:pos="1440"/>
        </w:tabs>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C23FFC"/>
    <w:multiLevelType w:val="hybridMultilevel"/>
    <w:tmpl w:val="19A66038"/>
    <w:lvl w:ilvl="0" w:tplc="FFFFFFFF">
      <w:start w:val="1"/>
      <w:numFmt w:val="decimal"/>
      <w:lvlText w:val="%1."/>
      <w:lvlJc w:val="left"/>
      <w:pPr>
        <w:tabs>
          <w:tab w:val="num" w:pos="1440"/>
        </w:tabs>
        <w:ind w:left="1440" w:hanging="720"/>
      </w:pPr>
      <w:rPr>
        <w:b w:val="0"/>
      </w:rPr>
    </w:lvl>
    <w:lvl w:ilvl="1" w:tplc="EE7C94BA">
      <w:start w:val="1"/>
      <w:numFmt w:val="lowerLetter"/>
      <w:lvlText w:val="(%2)"/>
      <w:lvlJc w:val="left"/>
      <w:pPr>
        <w:tabs>
          <w:tab w:val="num" w:pos="1440"/>
        </w:tabs>
        <w:ind w:left="1440" w:hanging="360"/>
      </w:pPr>
      <w:rPr>
        <w:rFonts w:hint="default"/>
        <w:b w:val="0"/>
      </w:rPr>
    </w:lvl>
    <w:lvl w:ilvl="2" w:tplc="0409001B">
      <w:start w:val="1"/>
      <w:numFmt w:val="lowerRoman"/>
      <w:lvlText w:val="%3."/>
      <w:lvlJc w:val="righ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2BB61680"/>
    <w:multiLevelType w:val="hybridMultilevel"/>
    <w:tmpl w:val="E3A61914"/>
    <w:lvl w:ilvl="0" w:tplc="70B081FE">
      <w:start w:val="1"/>
      <w:numFmt w:val="lowerLetter"/>
      <w:lvlText w:val="%1."/>
      <w:lvlJc w:val="left"/>
      <w:pPr>
        <w:ind w:left="720" w:hanging="360"/>
      </w:pPr>
    </w:lvl>
    <w:lvl w:ilvl="1" w:tplc="5D74B8F2">
      <w:start w:val="1"/>
      <w:numFmt w:val="lowerLetter"/>
      <w:lvlText w:val="%2."/>
      <w:lvlJc w:val="left"/>
      <w:pPr>
        <w:ind w:left="1440" w:hanging="360"/>
      </w:pPr>
    </w:lvl>
    <w:lvl w:ilvl="2" w:tplc="92820916">
      <w:start w:val="1"/>
      <w:numFmt w:val="lowerRoman"/>
      <w:lvlText w:val="%3."/>
      <w:lvlJc w:val="right"/>
      <w:pPr>
        <w:ind w:left="2160" w:hanging="180"/>
      </w:pPr>
    </w:lvl>
    <w:lvl w:ilvl="3" w:tplc="025825B8">
      <w:start w:val="1"/>
      <w:numFmt w:val="decimal"/>
      <w:lvlText w:val="%4."/>
      <w:lvlJc w:val="left"/>
      <w:pPr>
        <w:ind w:left="2880" w:hanging="360"/>
      </w:pPr>
    </w:lvl>
    <w:lvl w:ilvl="4" w:tplc="4FFCDA7A">
      <w:start w:val="1"/>
      <w:numFmt w:val="lowerLetter"/>
      <w:lvlText w:val="%5."/>
      <w:lvlJc w:val="left"/>
      <w:pPr>
        <w:ind w:left="3600" w:hanging="360"/>
      </w:pPr>
    </w:lvl>
    <w:lvl w:ilvl="5" w:tplc="045A4B24">
      <w:start w:val="1"/>
      <w:numFmt w:val="lowerRoman"/>
      <w:lvlText w:val="%6."/>
      <w:lvlJc w:val="right"/>
      <w:pPr>
        <w:ind w:left="4320" w:hanging="180"/>
      </w:pPr>
    </w:lvl>
    <w:lvl w:ilvl="6" w:tplc="12FCD0BA">
      <w:start w:val="1"/>
      <w:numFmt w:val="decimal"/>
      <w:lvlText w:val="%7."/>
      <w:lvlJc w:val="left"/>
      <w:pPr>
        <w:ind w:left="5040" w:hanging="360"/>
      </w:pPr>
    </w:lvl>
    <w:lvl w:ilvl="7" w:tplc="E95061F8">
      <w:start w:val="1"/>
      <w:numFmt w:val="lowerLetter"/>
      <w:lvlText w:val="%8."/>
      <w:lvlJc w:val="left"/>
      <w:pPr>
        <w:ind w:left="5760" w:hanging="360"/>
      </w:pPr>
    </w:lvl>
    <w:lvl w:ilvl="8" w:tplc="04686CC8">
      <w:start w:val="1"/>
      <w:numFmt w:val="lowerRoman"/>
      <w:lvlText w:val="%9."/>
      <w:lvlJc w:val="right"/>
      <w:pPr>
        <w:ind w:left="6480" w:hanging="180"/>
      </w:pPr>
    </w:lvl>
  </w:abstractNum>
  <w:abstractNum w:abstractNumId="4" w15:restartNumberingAfterBreak="0">
    <w:nsid w:val="47DA384D"/>
    <w:multiLevelType w:val="hybridMultilevel"/>
    <w:tmpl w:val="BD0AA566"/>
    <w:lvl w:ilvl="0" w:tplc="87F6867E">
      <w:start w:val="1"/>
      <w:numFmt w:val="upperLetter"/>
      <w:lvlText w:val="(%1)"/>
      <w:lvlJc w:val="left"/>
      <w:pPr>
        <w:ind w:left="720" w:hanging="360"/>
      </w:pPr>
      <w:rPr>
        <w:rFonts w:hint="default"/>
      </w:rPr>
    </w:lvl>
    <w:lvl w:ilvl="1" w:tplc="8054A09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A814208"/>
    <w:multiLevelType w:val="hybridMultilevel"/>
    <w:tmpl w:val="3E5EF762"/>
    <w:lvl w:ilvl="0" w:tplc="FFFFFFFF">
      <w:start w:val="1"/>
      <w:numFmt w:val="lowerLetter"/>
      <w:lvlText w:val="(%1)"/>
      <w:lvlJc w:val="left"/>
      <w:pPr>
        <w:tabs>
          <w:tab w:val="num" w:pos="1440"/>
        </w:tabs>
        <w:ind w:left="144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24407823">
    <w:abstractNumId w:val="2"/>
  </w:num>
  <w:num w:numId="2" w16cid:durableId="1857691038">
    <w:abstractNumId w:val="0"/>
  </w:num>
  <w:num w:numId="3" w16cid:durableId="1360202460">
    <w:abstractNumId w:val="3"/>
  </w:num>
  <w:num w:numId="4" w16cid:durableId="1230504814">
    <w:abstractNumId w:val="4"/>
  </w:num>
  <w:num w:numId="5" w16cid:durableId="1690984253">
    <w:abstractNumId w:val="1"/>
  </w:num>
  <w:num w:numId="6" w16cid:durableId="69091029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rQ0MTMwsjSzNDIwMTNT0lEKTi0uzszPAykwNqoFAGktueotAAAA"/>
  </w:docVars>
  <w:rsids>
    <w:rsidRoot w:val="000C64B8"/>
    <w:rsid w:val="000018B3"/>
    <w:rsid w:val="0000535D"/>
    <w:rsid w:val="00007E90"/>
    <w:rsid w:val="00010E71"/>
    <w:rsid w:val="00021109"/>
    <w:rsid w:val="00022598"/>
    <w:rsid w:val="0002649B"/>
    <w:rsid w:val="0003113C"/>
    <w:rsid w:val="000440F9"/>
    <w:rsid w:val="00044CA1"/>
    <w:rsid w:val="00051F73"/>
    <w:rsid w:val="00070D41"/>
    <w:rsid w:val="000716E6"/>
    <w:rsid w:val="00092B74"/>
    <w:rsid w:val="00092E72"/>
    <w:rsid w:val="00094506"/>
    <w:rsid w:val="00095B75"/>
    <w:rsid w:val="00096CBB"/>
    <w:rsid w:val="000A28F2"/>
    <w:rsid w:val="000A591E"/>
    <w:rsid w:val="000A789C"/>
    <w:rsid w:val="000C3C92"/>
    <w:rsid w:val="000C6075"/>
    <w:rsid w:val="000C64B8"/>
    <w:rsid w:val="000D05D9"/>
    <w:rsid w:val="000D0DAB"/>
    <w:rsid w:val="000D5DCA"/>
    <w:rsid w:val="000E38C0"/>
    <w:rsid w:val="000E5B71"/>
    <w:rsid w:val="000F3761"/>
    <w:rsid w:val="000F760A"/>
    <w:rsid w:val="00101029"/>
    <w:rsid w:val="001027F5"/>
    <w:rsid w:val="00102F76"/>
    <w:rsid w:val="00107459"/>
    <w:rsid w:val="00107A76"/>
    <w:rsid w:val="00115F7E"/>
    <w:rsid w:val="001219BA"/>
    <w:rsid w:val="00144A7D"/>
    <w:rsid w:val="001455A7"/>
    <w:rsid w:val="00155DE2"/>
    <w:rsid w:val="00156916"/>
    <w:rsid w:val="00162965"/>
    <w:rsid w:val="00162AEA"/>
    <w:rsid w:val="00165C8A"/>
    <w:rsid w:val="0018260E"/>
    <w:rsid w:val="00183787"/>
    <w:rsid w:val="00187FFE"/>
    <w:rsid w:val="00192D53"/>
    <w:rsid w:val="001B7E6C"/>
    <w:rsid w:val="001C5259"/>
    <w:rsid w:val="001C7554"/>
    <w:rsid w:val="001D12E3"/>
    <w:rsid w:val="001D1540"/>
    <w:rsid w:val="001D415F"/>
    <w:rsid w:val="001D48E9"/>
    <w:rsid w:val="001E04E1"/>
    <w:rsid w:val="001E3A63"/>
    <w:rsid w:val="001F0004"/>
    <w:rsid w:val="001F27BC"/>
    <w:rsid w:val="00204A62"/>
    <w:rsid w:val="0021241D"/>
    <w:rsid w:val="00215283"/>
    <w:rsid w:val="002300C2"/>
    <w:rsid w:val="0025169E"/>
    <w:rsid w:val="00263DED"/>
    <w:rsid w:val="00263E48"/>
    <w:rsid w:val="00273632"/>
    <w:rsid w:val="0028413F"/>
    <w:rsid w:val="00284DE0"/>
    <w:rsid w:val="0028614D"/>
    <w:rsid w:val="002864AD"/>
    <w:rsid w:val="00295126"/>
    <w:rsid w:val="002A054D"/>
    <w:rsid w:val="002A0814"/>
    <w:rsid w:val="002A5DD4"/>
    <w:rsid w:val="002B300D"/>
    <w:rsid w:val="002C3668"/>
    <w:rsid w:val="002C7989"/>
    <w:rsid w:val="002C7B80"/>
    <w:rsid w:val="002D148E"/>
    <w:rsid w:val="002D3E96"/>
    <w:rsid w:val="002D41C4"/>
    <w:rsid w:val="002D484E"/>
    <w:rsid w:val="002D55BF"/>
    <w:rsid w:val="002D563B"/>
    <w:rsid w:val="002E2335"/>
    <w:rsid w:val="002E3176"/>
    <w:rsid w:val="002E7CB0"/>
    <w:rsid w:val="002F46B3"/>
    <w:rsid w:val="002F66BB"/>
    <w:rsid w:val="00303335"/>
    <w:rsid w:val="0030641A"/>
    <w:rsid w:val="00310B3E"/>
    <w:rsid w:val="00310DEB"/>
    <w:rsid w:val="003154B0"/>
    <w:rsid w:val="003209E6"/>
    <w:rsid w:val="00341AB2"/>
    <w:rsid w:val="003506E4"/>
    <w:rsid w:val="003606B7"/>
    <w:rsid w:val="003668F5"/>
    <w:rsid w:val="003732B0"/>
    <w:rsid w:val="0038199A"/>
    <w:rsid w:val="00385495"/>
    <w:rsid w:val="00397D17"/>
    <w:rsid w:val="003A23D7"/>
    <w:rsid w:val="003B5B47"/>
    <w:rsid w:val="003B7210"/>
    <w:rsid w:val="003C774B"/>
    <w:rsid w:val="003D32AE"/>
    <w:rsid w:val="003D5D60"/>
    <w:rsid w:val="003D6464"/>
    <w:rsid w:val="003E0C96"/>
    <w:rsid w:val="003E1807"/>
    <w:rsid w:val="003E2F0E"/>
    <w:rsid w:val="003F24DC"/>
    <w:rsid w:val="003F429B"/>
    <w:rsid w:val="003F65B9"/>
    <w:rsid w:val="003F7269"/>
    <w:rsid w:val="003F7F47"/>
    <w:rsid w:val="004005E8"/>
    <w:rsid w:val="00402E12"/>
    <w:rsid w:val="00405537"/>
    <w:rsid w:val="00406FDF"/>
    <w:rsid w:val="00412804"/>
    <w:rsid w:val="00413AD5"/>
    <w:rsid w:val="0043312E"/>
    <w:rsid w:val="00435BB0"/>
    <w:rsid w:val="004362C4"/>
    <w:rsid w:val="00437CF6"/>
    <w:rsid w:val="004454DC"/>
    <w:rsid w:val="004519FC"/>
    <w:rsid w:val="004532C2"/>
    <w:rsid w:val="00454973"/>
    <w:rsid w:val="00461DC9"/>
    <w:rsid w:val="00464A2B"/>
    <w:rsid w:val="00470804"/>
    <w:rsid w:val="004721F3"/>
    <w:rsid w:val="004736B1"/>
    <w:rsid w:val="0048233B"/>
    <w:rsid w:val="00482818"/>
    <w:rsid w:val="00483B8B"/>
    <w:rsid w:val="0048522D"/>
    <w:rsid w:val="00491B36"/>
    <w:rsid w:val="0049467C"/>
    <w:rsid w:val="004A06AE"/>
    <w:rsid w:val="004A40F4"/>
    <w:rsid w:val="004B1F3B"/>
    <w:rsid w:val="004C3A44"/>
    <w:rsid w:val="004C7881"/>
    <w:rsid w:val="004D0E2B"/>
    <w:rsid w:val="004D2AB4"/>
    <w:rsid w:val="004D6B1E"/>
    <w:rsid w:val="004D7E86"/>
    <w:rsid w:val="004E0487"/>
    <w:rsid w:val="004E1063"/>
    <w:rsid w:val="004E58BA"/>
    <w:rsid w:val="004E6814"/>
    <w:rsid w:val="004E6D5F"/>
    <w:rsid w:val="004F6744"/>
    <w:rsid w:val="00500ACA"/>
    <w:rsid w:val="00501686"/>
    <w:rsid w:val="0050508C"/>
    <w:rsid w:val="00512462"/>
    <w:rsid w:val="005133DF"/>
    <w:rsid w:val="00517A21"/>
    <w:rsid w:val="00523810"/>
    <w:rsid w:val="00537C29"/>
    <w:rsid w:val="005515DD"/>
    <w:rsid w:val="00554146"/>
    <w:rsid w:val="005611BC"/>
    <w:rsid w:val="00563AD0"/>
    <w:rsid w:val="005651B0"/>
    <w:rsid w:val="0057369F"/>
    <w:rsid w:val="00577D85"/>
    <w:rsid w:val="00583526"/>
    <w:rsid w:val="0058517B"/>
    <w:rsid w:val="00587B63"/>
    <w:rsid w:val="00590F05"/>
    <w:rsid w:val="00591857"/>
    <w:rsid w:val="00592F9B"/>
    <w:rsid w:val="005B322C"/>
    <w:rsid w:val="005B68E0"/>
    <w:rsid w:val="005C1569"/>
    <w:rsid w:val="005C4957"/>
    <w:rsid w:val="005C5A82"/>
    <w:rsid w:val="005C5B49"/>
    <w:rsid w:val="005D1D16"/>
    <w:rsid w:val="005D2A33"/>
    <w:rsid w:val="005E57BB"/>
    <w:rsid w:val="005E60F5"/>
    <w:rsid w:val="005F62BB"/>
    <w:rsid w:val="005F6883"/>
    <w:rsid w:val="00600E89"/>
    <w:rsid w:val="00602450"/>
    <w:rsid w:val="006032B3"/>
    <w:rsid w:val="00606190"/>
    <w:rsid w:val="00617EBA"/>
    <w:rsid w:val="00622BB1"/>
    <w:rsid w:val="00623B49"/>
    <w:rsid w:val="00626459"/>
    <w:rsid w:val="0062681A"/>
    <w:rsid w:val="00641F6A"/>
    <w:rsid w:val="00644F41"/>
    <w:rsid w:val="0065082E"/>
    <w:rsid w:val="0065327E"/>
    <w:rsid w:val="00653FBB"/>
    <w:rsid w:val="00655F38"/>
    <w:rsid w:val="006614D1"/>
    <w:rsid w:val="00661D00"/>
    <w:rsid w:val="00664499"/>
    <w:rsid w:val="00672BFF"/>
    <w:rsid w:val="0068183B"/>
    <w:rsid w:val="00681FF3"/>
    <w:rsid w:val="00685B94"/>
    <w:rsid w:val="00686487"/>
    <w:rsid w:val="0068794D"/>
    <w:rsid w:val="00691959"/>
    <w:rsid w:val="00694595"/>
    <w:rsid w:val="006B3A38"/>
    <w:rsid w:val="006B3E91"/>
    <w:rsid w:val="006B4E4A"/>
    <w:rsid w:val="006D1037"/>
    <w:rsid w:val="006D73AC"/>
    <w:rsid w:val="006E0615"/>
    <w:rsid w:val="006E6078"/>
    <w:rsid w:val="006E63F1"/>
    <w:rsid w:val="006F572A"/>
    <w:rsid w:val="006F7602"/>
    <w:rsid w:val="0070048D"/>
    <w:rsid w:val="00703533"/>
    <w:rsid w:val="00726DAD"/>
    <w:rsid w:val="0073004A"/>
    <w:rsid w:val="007406A5"/>
    <w:rsid w:val="00740A0B"/>
    <w:rsid w:val="00741C5A"/>
    <w:rsid w:val="00742017"/>
    <w:rsid w:val="00745207"/>
    <w:rsid w:val="00747107"/>
    <w:rsid w:val="0075118A"/>
    <w:rsid w:val="00761FBC"/>
    <w:rsid w:val="00763E6E"/>
    <w:rsid w:val="00766F3B"/>
    <w:rsid w:val="007913E9"/>
    <w:rsid w:val="007919F7"/>
    <w:rsid w:val="007A3132"/>
    <w:rsid w:val="007A32CF"/>
    <w:rsid w:val="007A682C"/>
    <w:rsid w:val="007B1503"/>
    <w:rsid w:val="007B34D3"/>
    <w:rsid w:val="007B40E6"/>
    <w:rsid w:val="007C0388"/>
    <w:rsid w:val="007C6925"/>
    <w:rsid w:val="007D0D97"/>
    <w:rsid w:val="007D4D3B"/>
    <w:rsid w:val="007E1556"/>
    <w:rsid w:val="007E2FCF"/>
    <w:rsid w:val="007E3E04"/>
    <w:rsid w:val="007E524C"/>
    <w:rsid w:val="007E767B"/>
    <w:rsid w:val="007F11D9"/>
    <w:rsid w:val="008039D6"/>
    <w:rsid w:val="008064C3"/>
    <w:rsid w:val="008076B0"/>
    <w:rsid w:val="00813095"/>
    <w:rsid w:val="00817F18"/>
    <w:rsid w:val="00820A58"/>
    <w:rsid w:val="008348D4"/>
    <w:rsid w:val="008410DB"/>
    <w:rsid w:val="00842CFE"/>
    <w:rsid w:val="00844758"/>
    <w:rsid w:val="008447D3"/>
    <w:rsid w:val="008538B7"/>
    <w:rsid w:val="00861C7E"/>
    <w:rsid w:val="00863C45"/>
    <w:rsid w:val="0088241D"/>
    <w:rsid w:val="00885907"/>
    <w:rsid w:val="00887EF8"/>
    <w:rsid w:val="008A22FE"/>
    <w:rsid w:val="008A2533"/>
    <w:rsid w:val="008B4CD4"/>
    <w:rsid w:val="008C0E6A"/>
    <w:rsid w:val="008C5C79"/>
    <w:rsid w:val="008C630C"/>
    <w:rsid w:val="008D6ED1"/>
    <w:rsid w:val="008E4258"/>
    <w:rsid w:val="008E4293"/>
    <w:rsid w:val="008F02AB"/>
    <w:rsid w:val="008F0EE1"/>
    <w:rsid w:val="008F3596"/>
    <w:rsid w:val="008F47BF"/>
    <w:rsid w:val="00901488"/>
    <w:rsid w:val="00912BFC"/>
    <w:rsid w:val="009163C0"/>
    <w:rsid w:val="00926942"/>
    <w:rsid w:val="009333EB"/>
    <w:rsid w:val="00951216"/>
    <w:rsid w:val="00953517"/>
    <w:rsid w:val="009601D0"/>
    <w:rsid w:val="009674A0"/>
    <w:rsid w:val="00972E93"/>
    <w:rsid w:val="00973508"/>
    <w:rsid w:val="009737D6"/>
    <w:rsid w:val="0098668B"/>
    <w:rsid w:val="009978D7"/>
    <w:rsid w:val="009A1F75"/>
    <w:rsid w:val="009A7623"/>
    <w:rsid w:val="009B268F"/>
    <w:rsid w:val="009B2AFF"/>
    <w:rsid w:val="009B4F61"/>
    <w:rsid w:val="009C02BD"/>
    <w:rsid w:val="009C2EFB"/>
    <w:rsid w:val="009C7A6B"/>
    <w:rsid w:val="009D0796"/>
    <w:rsid w:val="009D23FA"/>
    <w:rsid w:val="009F4EBD"/>
    <w:rsid w:val="00A02D42"/>
    <w:rsid w:val="00A0601B"/>
    <w:rsid w:val="00A0719A"/>
    <w:rsid w:val="00A13C77"/>
    <w:rsid w:val="00A21BFF"/>
    <w:rsid w:val="00A271F8"/>
    <w:rsid w:val="00A31250"/>
    <w:rsid w:val="00A337BA"/>
    <w:rsid w:val="00A3497D"/>
    <w:rsid w:val="00A34D1C"/>
    <w:rsid w:val="00A378FE"/>
    <w:rsid w:val="00A37C19"/>
    <w:rsid w:val="00A44A21"/>
    <w:rsid w:val="00A4666E"/>
    <w:rsid w:val="00A50A50"/>
    <w:rsid w:val="00A5449F"/>
    <w:rsid w:val="00A57F1E"/>
    <w:rsid w:val="00A60CA8"/>
    <w:rsid w:val="00A6470E"/>
    <w:rsid w:val="00A66193"/>
    <w:rsid w:val="00A677D3"/>
    <w:rsid w:val="00A714C8"/>
    <w:rsid w:val="00A72AA5"/>
    <w:rsid w:val="00A74646"/>
    <w:rsid w:val="00A82090"/>
    <w:rsid w:val="00A84A42"/>
    <w:rsid w:val="00A86263"/>
    <w:rsid w:val="00A9087B"/>
    <w:rsid w:val="00AA1397"/>
    <w:rsid w:val="00AA1B5D"/>
    <w:rsid w:val="00AC63C2"/>
    <w:rsid w:val="00AD1FEB"/>
    <w:rsid w:val="00AE754A"/>
    <w:rsid w:val="00AF5272"/>
    <w:rsid w:val="00AF6A23"/>
    <w:rsid w:val="00B013C3"/>
    <w:rsid w:val="00B07F4B"/>
    <w:rsid w:val="00B106A4"/>
    <w:rsid w:val="00B124D0"/>
    <w:rsid w:val="00B15A61"/>
    <w:rsid w:val="00B16453"/>
    <w:rsid w:val="00B2098B"/>
    <w:rsid w:val="00B23CA0"/>
    <w:rsid w:val="00B3008D"/>
    <w:rsid w:val="00B4471B"/>
    <w:rsid w:val="00B469B4"/>
    <w:rsid w:val="00B5549C"/>
    <w:rsid w:val="00B555A8"/>
    <w:rsid w:val="00B56B8E"/>
    <w:rsid w:val="00B60FCC"/>
    <w:rsid w:val="00B76D43"/>
    <w:rsid w:val="00B82AF7"/>
    <w:rsid w:val="00BA0C29"/>
    <w:rsid w:val="00BA0FC5"/>
    <w:rsid w:val="00BA6825"/>
    <w:rsid w:val="00BA6F3F"/>
    <w:rsid w:val="00BB2807"/>
    <w:rsid w:val="00BB2CB2"/>
    <w:rsid w:val="00BC27F5"/>
    <w:rsid w:val="00BC5ACF"/>
    <w:rsid w:val="00BD5038"/>
    <w:rsid w:val="00BD5C66"/>
    <w:rsid w:val="00BD78FB"/>
    <w:rsid w:val="00BE153F"/>
    <w:rsid w:val="00BE1BC5"/>
    <w:rsid w:val="00BE2475"/>
    <w:rsid w:val="00BE3E58"/>
    <w:rsid w:val="00BE4998"/>
    <w:rsid w:val="00BF7ECE"/>
    <w:rsid w:val="00C0327A"/>
    <w:rsid w:val="00C116CD"/>
    <w:rsid w:val="00C16650"/>
    <w:rsid w:val="00C26BA9"/>
    <w:rsid w:val="00C3645F"/>
    <w:rsid w:val="00C37331"/>
    <w:rsid w:val="00C417C3"/>
    <w:rsid w:val="00C46EF0"/>
    <w:rsid w:val="00C516F2"/>
    <w:rsid w:val="00C61B16"/>
    <w:rsid w:val="00C67F89"/>
    <w:rsid w:val="00C73108"/>
    <w:rsid w:val="00C75FA5"/>
    <w:rsid w:val="00C76084"/>
    <w:rsid w:val="00C7608B"/>
    <w:rsid w:val="00C80F6E"/>
    <w:rsid w:val="00C81CF6"/>
    <w:rsid w:val="00C9576C"/>
    <w:rsid w:val="00CA3F53"/>
    <w:rsid w:val="00CA5F7D"/>
    <w:rsid w:val="00CB56C3"/>
    <w:rsid w:val="00CB6F84"/>
    <w:rsid w:val="00CE487D"/>
    <w:rsid w:val="00CE5D78"/>
    <w:rsid w:val="00D0001C"/>
    <w:rsid w:val="00D106B8"/>
    <w:rsid w:val="00D145C5"/>
    <w:rsid w:val="00D2167E"/>
    <w:rsid w:val="00D2505B"/>
    <w:rsid w:val="00D25138"/>
    <w:rsid w:val="00D36E81"/>
    <w:rsid w:val="00D36F64"/>
    <w:rsid w:val="00D378C8"/>
    <w:rsid w:val="00D42088"/>
    <w:rsid w:val="00D42ECD"/>
    <w:rsid w:val="00D46493"/>
    <w:rsid w:val="00D50595"/>
    <w:rsid w:val="00D5187E"/>
    <w:rsid w:val="00D609D3"/>
    <w:rsid w:val="00D62976"/>
    <w:rsid w:val="00D64E6D"/>
    <w:rsid w:val="00D7348D"/>
    <w:rsid w:val="00D74BDD"/>
    <w:rsid w:val="00D75423"/>
    <w:rsid w:val="00D76FBE"/>
    <w:rsid w:val="00D77E4B"/>
    <w:rsid w:val="00D818A2"/>
    <w:rsid w:val="00D83A38"/>
    <w:rsid w:val="00D91999"/>
    <w:rsid w:val="00D9237E"/>
    <w:rsid w:val="00DA2640"/>
    <w:rsid w:val="00DB0BA4"/>
    <w:rsid w:val="00DC1C49"/>
    <w:rsid w:val="00DC4ACB"/>
    <w:rsid w:val="00DC595E"/>
    <w:rsid w:val="00DD28A8"/>
    <w:rsid w:val="00DE4520"/>
    <w:rsid w:val="00DE5DF7"/>
    <w:rsid w:val="00DF549A"/>
    <w:rsid w:val="00DF6385"/>
    <w:rsid w:val="00E06DF6"/>
    <w:rsid w:val="00E0743B"/>
    <w:rsid w:val="00E076A2"/>
    <w:rsid w:val="00E10A73"/>
    <w:rsid w:val="00E20700"/>
    <w:rsid w:val="00E20EA4"/>
    <w:rsid w:val="00E2197C"/>
    <w:rsid w:val="00E226D8"/>
    <w:rsid w:val="00E24ECD"/>
    <w:rsid w:val="00E250BE"/>
    <w:rsid w:val="00E36B0E"/>
    <w:rsid w:val="00E37600"/>
    <w:rsid w:val="00E37C4F"/>
    <w:rsid w:val="00E43B77"/>
    <w:rsid w:val="00E47627"/>
    <w:rsid w:val="00E51626"/>
    <w:rsid w:val="00E52BEE"/>
    <w:rsid w:val="00E6309E"/>
    <w:rsid w:val="00E66928"/>
    <w:rsid w:val="00E67C1E"/>
    <w:rsid w:val="00E912C1"/>
    <w:rsid w:val="00E91CBF"/>
    <w:rsid w:val="00E95CA0"/>
    <w:rsid w:val="00E96F10"/>
    <w:rsid w:val="00EA28C4"/>
    <w:rsid w:val="00EA75C6"/>
    <w:rsid w:val="00EC1A79"/>
    <w:rsid w:val="00EC1C77"/>
    <w:rsid w:val="00EC2FA9"/>
    <w:rsid w:val="00EC67F3"/>
    <w:rsid w:val="00ED7591"/>
    <w:rsid w:val="00EE1A59"/>
    <w:rsid w:val="00EE3DBC"/>
    <w:rsid w:val="00EE4461"/>
    <w:rsid w:val="00F03A86"/>
    <w:rsid w:val="00F07556"/>
    <w:rsid w:val="00F17348"/>
    <w:rsid w:val="00F22A8D"/>
    <w:rsid w:val="00F37E2D"/>
    <w:rsid w:val="00F46A73"/>
    <w:rsid w:val="00F5101F"/>
    <w:rsid w:val="00F53483"/>
    <w:rsid w:val="00F55060"/>
    <w:rsid w:val="00F61935"/>
    <w:rsid w:val="00F63683"/>
    <w:rsid w:val="00F8016A"/>
    <w:rsid w:val="00F80FB7"/>
    <w:rsid w:val="00F826A9"/>
    <w:rsid w:val="00F848D6"/>
    <w:rsid w:val="00F8749E"/>
    <w:rsid w:val="00F87A32"/>
    <w:rsid w:val="00F92AEE"/>
    <w:rsid w:val="00F931AC"/>
    <w:rsid w:val="00F938B8"/>
    <w:rsid w:val="00F94BEB"/>
    <w:rsid w:val="00F96365"/>
    <w:rsid w:val="00F971D5"/>
    <w:rsid w:val="00FA032D"/>
    <w:rsid w:val="00FA4B1B"/>
    <w:rsid w:val="00FA5185"/>
    <w:rsid w:val="00FB339B"/>
    <w:rsid w:val="00FB5DF1"/>
    <w:rsid w:val="00FB6109"/>
    <w:rsid w:val="00FB762A"/>
    <w:rsid w:val="00FC50BA"/>
    <w:rsid w:val="00FC6B13"/>
    <w:rsid w:val="00FE0800"/>
    <w:rsid w:val="00FE1DED"/>
    <w:rsid w:val="00FE3E0D"/>
    <w:rsid w:val="00FE4645"/>
    <w:rsid w:val="00FE5302"/>
    <w:rsid w:val="00FE5BFA"/>
    <w:rsid w:val="00FE6C7B"/>
    <w:rsid w:val="00FE7290"/>
    <w:rsid w:val="00FF2F6B"/>
    <w:rsid w:val="00FF32D7"/>
    <w:rsid w:val="00FF70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381439"/>
  <w15:chartTrackingRefBased/>
  <w15:docId w15:val="{2EE99036-AA5B-4DCD-8463-CB182AED0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64B8"/>
    <w:pPr>
      <w:spacing w:after="0" w:line="240" w:lineRule="auto"/>
    </w:pPr>
    <w:rPr>
      <w:rFonts w:ascii="Times New Roman" w:eastAsia="Times New Roman" w:hAnsi="Times New Roman"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C6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C64B8"/>
    <w:rPr>
      <w:color w:val="0563C1" w:themeColor="hyperlink"/>
      <w:u w:val="single"/>
    </w:rPr>
  </w:style>
  <w:style w:type="paragraph" w:styleId="FootnoteText">
    <w:name w:val="footnote text"/>
    <w:basedOn w:val="Normal"/>
    <w:link w:val="FootnoteTextChar"/>
    <w:uiPriority w:val="99"/>
    <w:semiHidden/>
    <w:unhideWhenUsed/>
    <w:rsid w:val="000C64B8"/>
    <w:rPr>
      <w:sz w:val="20"/>
    </w:rPr>
  </w:style>
  <w:style w:type="character" w:customStyle="1" w:styleId="FootnoteTextChar">
    <w:name w:val="Footnote Text Char"/>
    <w:basedOn w:val="DefaultParagraphFont"/>
    <w:link w:val="FootnoteText"/>
    <w:uiPriority w:val="99"/>
    <w:semiHidden/>
    <w:rsid w:val="000C64B8"/>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0C64B8"/>
    <w:rPr>
      <w:vertAlign w:val="superscript"/>
    </w:rPr>
  </w:style>
  <w:style w:type="paragraph" w:styleId="ListParagraph">
    <w:name w:val="List Paragraph"/>
    <w:basedOn w:val="Normal"/>
    <w:uiPriority w:val="34"/>
    <w:qFormat/>
    <w:rsid w:val="000C64B8"/>
    <w:pPr>
      <w:ind w:left="720"/>
      <w:contextualSpacing/>
    </w:pPr>
  </w:style>
  <w:style w:type="paragraph" w:styleId="BalloonText">
    <w:name w:val="Balloon Text"/>
    <w:basedOn w:val="Normal"/>
    <w:link w:val="BalloonTextChar"/>
    <w:uiPriority w:val="99"/>
    <w:semiHidden/>
    <w:unhideWhenUsed/>
    <w:rsid w:val="00402E12"/>
    <w:rPr>
      <w:rFonts w:ascii="Arial" w:hAnsi="Arial" w:cs="Arial"/>
      <w:sz w:val="18"/>
      <w:szCs w:val="18"/>
    </w:rPr>
  </w:style>
  <w:style w:type="character" w:customStyle="1" w:styleId="BalloonTextChar">
    <w:name w:val="Balloon Text Char"/>
    <w:basedOn w:val="DefaultParagraphFont"/>
    <w:link w:val="BalloonText"/>
    <w:uiPriority w:val="99"/>
    <w:semiHidden/>
    <w:rsid w:val="00402E12"/>
    <w:rPr>
      <w:rFonts w:ascii="Arial" w:eastAsia="Times New Roman" w:hAnsi="Arial" w:cs="Arial"/>
      <w:sz w:val="18"/>
      <w:szCs w:val="18"/>
    </w:rPr>
  </w:style>
  <w:style w:type="character" w:styleId="CommentReference">
    <w:name w:val="annotation reference"/>
    <w:basedOn w:val="DefaultParagraphFont"/>
    <w:uiPriority w:val="99"/>
    <w:semiHidden/>
    <w:unhideWhenUsed/>
    <w:rsid w:val="00D145C5"/>
    <w:rPr>
      <w:sz w:val="16"/>
      <w:szCs w:val="16"/>
    </w:rPr>
  </w:style>
  <w:style w:type="paragraph" w:styleId="CommentText">
    <w:name w:val="annotation text"/>
    <w:basedOn w:val="Normal"/>
    <w:link w:val="CommentTextChar"/>
    <w:uiPriority w:val="99"/>
    <w:semiHidden/>
    <w:unhideWhenUsed/>
    <w:rsid w:val="00D145C5"/>
    <w:rPr>
      <w:sz w:val="20"/>
    </w:rPr>
  </w:style>
  <w:style w:type="character" w:customStyle="1" w:styleId="CommentTextChar">
    <w:name w:val="Comment Text Char"/>
    <w:basedOn w:val="DefaultParagraphFont"/>
    <w:link w:val="CommentText"/>
    <w:uiPriority w:val="99"/>
    <w:semiHidden/>
    <w:rsid w:val="00D145C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145C5"/>
    <w:rPr>
      <w:b/>
      <w:bCs/>
    </w:rPr>
  </w:style>
  <w:style w:type="character" w:customStyle="1" w:styleId="CommentSubjectChar">
    <w:name w:val="Comment Subject Char"/>
    <w:basedOn w:val="CommentTextChar"/>
    <w:link w:val="CommentSubject"/>
    <w:uiPriority w:val="99"/>
    <w:semiHidden/>
    <w:rsid w:val="00D145C5"/>
    <w:rPr>
      <w:rFonts w:ascii="Times New Roman" w:eastAsia="Times New Roman" w:hAnsi="Times New Roman" w:cs="Times New Roman"/>
      <w:b/>
      <w:bCs/>
      <w:sz w:val="20"/>
      <w:szCs w:val="20"/>
    </w:rPr>
  </w:style>
  <w:style w:type="character" w:styleId="UnresolvedMention">
    <w:name w:val="Unresolved Mention"/>
    <w:basedOn w:val="DefaultParagraphFont"/>
    <w:uiPriority w:val="99"/>
    <w:semiHidden/>
    <w:unhideWhenUsed/>
    <w:rsid w:val="00844758"/>
    <w:rPr>
      <w:color w:val="605E5C"/>
      <w:shd w:val="clear" w:color="auto" w:fill="E1DFDD"/>
    </w:rPr>
  </w:style>
  <w:style w:type="paragraph" w:styleId="Header">
    <w:name w:val="header"/>
    <w:basedOn w:val="Normal"/>
    <w:link w:val="HeaderChar"/>
    <w:uiPriority w:val="99"/>
    <w:unhideWhenUsed/>
    <w:rsid w:val="00F53483"/>
    <w:pPr>
      <w:tabs>
        <w:tab w:val="center" w:pos="4680"/>
        <w:tab w:val="right" w:pos="9360"/>
      </w:tabs>
    </w:pPr>
  </w:style>
  <w:style w:type="character" w:customStyle="1" w:styleId="HeaderChar">
    <w:name w:val="Header Char"/>
    <w:basedOn w:val="DefaultParagraphFont"/>
    <w:link w:val="Header"/>
    <w:uiPriority w:val="99"/>
    <w:rsid w:val="00F53483"/>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F53483"/>
    <w:pPr>
      <w:tabs>
        <w:tab w:val="center" w:pos="4680"/>
        <w:tab w:val="right" w:pos="9360"/>
      </w:tabs>
    </w:pPr>
  </w:style>
  <w:style w:type="character" w:customStyle="1" w:styleId="FooterChar">
    <w:name w:val="Footer Char"/>
    <w:basedOn w:val="DefaultParagraphFont"/>
    <w:link w:val="Footer"/>
    <w:uiPriority w:val="99"/>
    <w:rsid w:val="00F53483"/>
    <w:rPr>
      <w:rFonts w:ascii="Times New Roman" w:eastAsia="Times New Roman" w:hAnsi="Times New Roman" w:cs="Times New Roman"/>
      <w:sz w:val="24"/>
      <w:szCs w:val="20"/>
    </w:rPr>
  </w:style>
  <w:style w:type="character" w:styleId="FollowedHyperlink">
    <w:name w:val="FollowedHyperlink"/>
    <w:basedOn w:val="DefaultParagraphFont"/>
    <w:uiPriority w:val="99"/>
    <w:semiHidden/>
    <w:unhideWhenUsed/>
    <w:rsid w:val="008348D4"/>
    <w:rPr>
      <w:color w:val="954F72" w:themeColor="followedHyperlink"/>
      <w:u w:val="single"/>
    </w:rPr>
  </w:style>
  <w:style w:type="paragraph" w:styleId="BodyText">
    <w:name w:val="Body Text"/>
    <w:basedOn w:val="Normal"/>
    <w:link w:val="BodyTextChar"/>
    <w:uiPriority w:val="99"/>
    <w:unhideWhenUsed/>
    <w:rsid w:val="008F0EE1"/>
    <w:pPr>
      <w:spacing w:after="120"/>
    </w:pPr>
  </w:style>
  <w:style w:type="character" w:customStyle="1" w:styleId="BodyTextChar">
    <w:name w:val="Body Text Char"/>
    <w:basedOn w:val="DefaultParagraphFont"/>
    <w:link w:val="BodyText"/>
    <w:uiPriority w:val="99"/>
    <w:rsid w:val="008F0EE1"/>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033926">
      <w:bodyDiv w:val="1"/>
      <w:marLeft w:val="0"/>
      <w:marRight w:val="0"/>
      <w:marTop w:val="0"/>
      <w:marBottom w:val="0"/>
      <w:divBdr>
        <w:top w:val="none" w:sz="0" w:space="0" w:color="auto"/>
        <w:left w:val="none" w:sz="0" w:space="0" w:color="auto"/>
        <w:bottom w:val="none" w:sz="0" w:space="0" w:color="auto"/>
        <w:right w:val="none" w:sz="0" w:space="0" w:color="auto"/>
      </w:divBdr>
    </w:div>
    <w:div w:id="754403308">
      <w:bodyDiv w:val="1"/>
      <w:marLeft w:val="0"/>
      <w:marRight w:val="0"/>
      <w:marTop w:val="0"/>
      <w:marBottom w:val="0"/>
      <w:divBdr>
        <w:top w:val="none" w:sz="0" w:space="0" w:color="auto"/>
        <w:left w:val="none" w:sz="0" w:space="0" w:color="auto"/>
        <w:bottom w:val="none" w:sz="0" w:space="0" w:color="auto"/>
        <w:right w:val="none" w:sz="0" w:space="0" w:color="auto"/>
      </w:divBdr>
      <w:divsChild>
        <w:div w:id="200167684">
          <w:marLeft w:val="0"/>
          <w:marRight w:val="0"/>
          <w:marTop w:val="0"/>
          <w:marBottom w:val="0"/>
          <w:divBdr>
            <w:top w:val="none" w:sz="0" w:space="0" w:color="auto"/>
            <w:left w:val="none" w:sz="0" w:space="0" w:color="auto"/>
            <w:bottom w:val="none" w:sz="0" w:space="0" w:color="auto"/>
            <w:right w:val="none" w:sz="0" w:space="0" w:color="auto"/>
          </w:divBdr>
        </w:div>
      </w:divsChild>
    </w:div>
    <w:div w:id="1158499431">
      <w:bodyDiv w:val="1"/>
      <w:marLeft w:val="0"/>
      <w:marRight w:val="0"/>
      <w:marTop w:val="0"/>
      <w:marBottom w:val="0"/>
      <w:divBdr>
        <w:top w:val="none" w:sz="0" w:space="0" w:color="auto"/>
        <w:left w:val="none" w:sz="0" w:space="0" w:color="auto"/>
        <w:bottom w:val="none" w:sz="0" w:space="0" w:color="auto"/>
        <w:right w:val="none" w:sz="0" w:space="0" w:color="auto"/>
      </w:divBdr>
      <w:divsChild>
        <w:div w:id="743243">
          <w:marLeft w:val="0"/>
          <w:marRight w:val="0"/>
          <w:marTop w:val="0"/>
          <w:marBottom w:val="0"/>
          <w:divBdr>
            <w:top w:val="none" w:sz="0" w:space="0" w:color="auto"/>
            <w:left w:val="none" w:sz="0" w:space="0" w:color="auto"/>
            <w:bottom w:val="none" w:sz="0" w:space="0" w:color="auto"/>
            <w:right w:val="none" w:sz="0" w:space="0" w:color="auto"/>
          </w:divBdr>
        </w:div>
        <w:div w:id="54554375">
          <w:marLeft w:val="0"/>
          <w:marRight w:val="0"/>
          <w:marTop w:val="0"/>
          <w:marBottom w:val="0"/>
          <w:divBdr>
            <w:top w:val="none" w:sz="0" w:space="0" w:color="auto"/>
            <w:left w:val="none" w:sz="0" w:space="0" w:color="auto"/>
            <w:bottom w:val="none" w:sz="0" w:space="0" w:color="auto"/>
            <w:right w:val="none" w:sz="0" w:space="0" w:color="auto"/>
          </w:divBdr>
        </w:div>
        <w:div w:id="804392079">
          <w:marLeft w:val="0"/>
          <w:marRight w:val="0"/>
          <w:marTop w:val="0"/>
          <w:marBottom w:val="0"/>
          <w:divBdr>
            <w:top w:val="none" w:sz="0" w:space="0" w:color="auto"/>
            <w:left w:val="none" w:sz="0" w:space="0" w:color="auto"/>
            <w:bottom w:val="none" w:sz="0" w:space="0" w:color="auto"/>
            <w:right w:val="none" w:sz="0" w:space="0" w:color="auto"/>
          </w:divBdr>
        </w:div>
        <w:div w:id="1543857704">
          <w:marLeft w:val="0"/>
          <w:marRight w:val="0"/>
          <w:marTop w:val="0"/>
          <w:marBottom w:val="0"/>
          <w:divBdr>
            <w:top w:val="none" w:sz="0" w:space="0" w:color="auto"/>
            <w:left w:val="none" w:sz="0" w:space="0" w:color="auto"/>
            <w:bottom w:val="none" w:sz="0" w:space="0" w:color="auto"/>
            <w:right w:val="none" w:sz="0" w:space="0" w:color="auto"/>
          </w:divBdr>
        </w:div>
        <w:div w:id="1894657078">
          <w:marLeft w:val="0"/>
          <w:marRight w:val="0"/>
          <w:marTop w:val="0"/>
          <w:marBottom w:val="0"/>
          <w:divBdr>
            <w:top w:val="none" w:sz="0" w:space="0" w:color="auto"/>
            <w:left w:val="none" w:sz="0" w:space="0" w:color="auto"/>
            <w:bottom w:val="none" w:sz="0" w:space="0" w:color="auto"/>
            <w:right w:val="none" w:sz="0" w:space="0" w:color="auto"/>
          </w:divBdr>
        </w:div>
      </w:divsChild>
    </w:div>
    <w:div w:id="1195849996">
      <w:bodyDiv w:val="1"/>
      <w:marLeft w:val="0"/>
      <w:marRight w:val="0"/>
      <w:marTop w:val="0"/>
      <w:marBottom w:val="0"/>
      <w:divBdr>
        <w:top w:val="none" w:sz="0" w:space="0" w:color="auto"/>
        <w:left w:val="none" w:sz="0" w:space="0" w:color="auto"/>
        <w:bottom w:val="none" w:sz="0" w:space="0" w:color="auto"/>
        <w:right w:val="none" w:sz="0" w:space="0" w:color="auto"/>
      </w:divBdr>
      <w:divsChild>
        <w:div w:id="9648466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illiegram.com" TargetMode="External"/><Relationship Id="rId21" Type="http://schemas.openxmlformats.org/officeDocument/2006/relationships/hyperlink" Target="http://www.goodthins.com" TargetMode="External"/><Relationship Id="rId42" Type="http://schemas.openxmlformats.org/officeDocument/2006/relationships/image" Target="media/image3.png"/><Relationship Id="rId47" Type="http://schemas.openxmlformats.org/officeDocument/2006/relationships/image" Target="media/image6.png"/><Relationship Id="rId63" Type="http://schemas.openxmlformats.org/officeDocument/2006/relationships/image" Target="media/image14.png"/><Relationship Id="rId68" Type="http://schemas.openxmlformats.org/officeDocument/2006/relationships/hyperlink" Target="https://youtube.com/shorts/ekjFVM8G0V4?feature=share" TargetMode="External"/><Relationship Id="rId84" Type="http://schemas.openxmlformats.org/officeDocument/2006/relationships/hyperlink" Target="https://youtube.com/shorts/omomPMqF5KI" TargetMode="External"/><Relationship Id="rId89" Type="http://schemas.openxmlformats.org/officeDocument/2006/relationships/hyperlink" Target="http://www.tatesbakeshop.com" TargetMode="External"/><Relationship Id="rId16" Type="http://schemas.openxmlformats.org/officeDocument/2006/relationships/hyperlink" Target="http://www.dirtkitchensnacks.com" TargetMode="External"/><Relationship Id="rId11" Type="http://schemas.openxmlformats.org/officeDocument/2006/relationships/hyperlink" Target="https://www.oreo.com/" TargetMode="External"/><Relationship Id="rId32" Type="http://schemas.openxmlformats.org/officeDocument/2006/relationships/hyperlink" Target="http://www.snackworks.com" TargetMode="External"/><Relationship Id="rId37" Type="http://schemas.openxmlformats.org/officeDocument/2006/relationships/hyperlink" Target="http://www.triscuit.com" TargetMode="External"/><Relationship Id="rId53" Type="http://schemas.openxmlformats.org/officeDocument/2006/relationships/image" Target="media/image10.png"/><Relationship Id="rId58" Type="http://schemas.openxmlformats.org/officeDocument/2006/relationships/hyperlink" Target="https://us.greenandblacks.com/" TargetMode="External"/><Relationship Id="rId74" Type="http://schemas.openxmlformats.org/officeDocument/2006/relationships/hyperlink" Target="https://youtube.com/shorts/2i49JNDLgko" TargetMode="External"/><Relationship Id="rId79" Type="http://schemas.openxmlformats.org/officeDocument/2006/relationships/hyperlink" Target="http://www.masonstbakehouse.com" TargetMode="External"/><Relationship Id="rId5" Type="http://schemas.openxmlformats.org/officeDocument/2006/relationships/numbering" Target="numbering.xml"/><Relationship Id="rId90" Type="http://schemas.openxmlformats.org/officeDocument/2006/relationships/hyperlink" Target="https://youtube.com/shorts/GPqLIAjE7ns" TargetMode="External"/><Relationship Id="rId95" Type="http://schemas.openxmlformats.org/officeDocument/2006/relationships/hyperlink" Target="http://www.mondelezinternational.com" TargetMode="External"/><Relationship Id="rId22" Type="http://schemas.openxmlformats.org/officeDocument/2006/relationships/hyperlink" Target="http://www.hukitchen.com" TargetMode="External"/><Relationship Id="rId27" Type="http://schemas.openxmlformats.org/officeDocument/2006/relationships/hyperlink" Target="http://www.mondelezinternational.com" TargetMode="External"/><Relationship Id="rId43" Type="http://schemas.openxmlformats.org/officeDocument/2006/relationships/image" Target="media/image4.png"/><Relationship Id="rId48" Type="http://schemas.openxmlformats.org/officeDocument/2006/relationships/image" Target="media/image7.png"/><Relationship Id="rId64" Type="http://schemas.openxmlformats.org/officeDocument/2006/relationships/hyperlink" Target="https://sourpatchkids.com/" TargetMode="External"/><Relationship Id="rId69" Type="http://schemas.openxmlformats.org/officeDocument/2006/relationships/hyperlink" Target="https://youtube.com/shorts/TLhPU0aI498" TargetMode="External"/><Relationship Id="rId80" Type="http://schemas.openxmlformats.org/officeDocument/2006/relationships/hyperlink" Target="http://www.ritzcrackers.com" TargetMode="External"/><Relationship Id="rId85" Type="http://schemas.openxmlformats.org/officeDocument/2006/relationships/hyperlink" Target="http://www.perfectsnacks.com" TargetMode="External"/><Relationship Id="rId3" Type="http://schemas.openxmlformats.org/officeDocument/2006/relationships/customXml" Target="../customXml/item3.xml"/><Relationship Id="rId12" Type="http://schemas.openxmlformats.org/officeDocument/2006/relationships/hyperlink" Target="http://www.belvitabreakfast.com" TargetMode="External"/><Relationship Id="rId17" Type="http://schemas.openxmlformats.org/officeDocument/2006/relationships/hyperlink" Target="http://www.discoverteddy.com" TargetMode="External"/><Relationship Id="rId25" Type="http://schemas.openxmlformats.org/officeDocument/2006/relationships/hyperlink" Target="http://www.mdlzcusthelp.com" TargetMode="External"/><Relationship Id="rId33" Type="http://schemas.openxmlformats.org/officeDocument/2006/relationships/hyperlink" Target="http://www.sourpatchkids.com" TargetMode="External"/><Relationship Id="rId38" Type="http://schemas.openxmlformats.org/officeDocument/2006/relationships/hyperlink" Target="http://www.unclewallys.com" TargetMode="External"/><Relationship Id="rId46" Type="http://schemas.openxmlformats.org/officeDocument/2006/relationships/hyperlink" Target="https://www.belvitabreakfast.com/" TargetMode="External"/><Relationship Id="rId59" Type="http://schemas.openxmlformats.org/officeDocument/2006/relationships/image" Target="media/image12.png"/><Relationship Id="rId67" Type="http://schemas.openxmlformats.org/officeDocument/2006/relationships/hyperlink" Target="http://www.wheatthins.com" TargetMode="External"/><Relationship Id="rId20" Type="http://schemas.openxmlformats.org/officeDocument/2006/relationships/hyperlink" Target="http://www.giveandgo.com" TargetMode="External"/><Relationship Id="rId41" Type="http://schemas.openxmlformats.org/officeDocument/2006/relationships/image" Target="media/image2.png"/><Relationship Id="rId54" Type="http://schemas.openxmlformats.org/officeDocument/2006/relationships/hyperlink" Target="https://www.dentyne.com/" TargetMode="External"/><Relationship Id="rId62" Type="http://schemas.openxmlformats.org/officeDocument/2006/relationships/hyperlink" Target="https://www.triscuit.com/" TargetMode="External"/><Relationship Id="rId70" Type="http://schemas.openxmlformats.org/officeDocument/2006/relationships/hyperlink" Target="https://youtube.com/shorts/-6Tu-enDaag?feature=share" TargetMode="External"/><Relationship Id="rId75" Type="http://schemas.openxmlformats.org/officeDocument/2006/relationships/hyperlink" Target="http://www.capaofruit.com" TargetMode="External"/><Relationship Id="rId83" Type="http://schemas.openxmlformats.org/officeDocument/2006/relationships/hyperlink" Target="https://youtube.com/shorts/UCuDtpSWWTk" TargetMode="External"/><Relationship Id="rId88" Type="http://schemas.openxmlformats.org/officeDocument/2006/relationships/hyperlink" Target="https://youtube.com/shorts/e4ZQ9X-mFDI" TargetMode="External"/><Relationship Id="rId91" Type="http://schemas.openxmlformats.org/officeDocument/2006/relationships/image" Target="media/image15.png"/><Relationship Id="rId96"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dentyne.com" TargetMode="External"/><Relationship Id="rId23" Type="http://schemas.openxmlformats.org/officeDocument/2006/relationships/hyperlink" Target="http://www.kimberleysbakeshoppe.com" TargetMode="External"/><Relationship Id="rId28" Type="http://schemas.openxmlformats.org/officeDocument/2006/relationships/hyperlink" Target="http://www.oreo.com" TargetMode="External"/><Relationship Id="rId36" Type="http://schemas.openxmlformats.org/officeDocument/2006/relationships/hyperlink" Target="http://www.tridentgum.com" TargetMode="External"/><Relationship Id="rId49" Type="http://schemas.openxmlformats.org/officeDocument/2006/relationships/hyperlink" Target="https://www.discoverteddy.com/" TargetMode="External"/><Relationship Id="rId57" Type="http://schemas.openxmlformats.org/officeDocument/2006/relationships/image" Target="media/image11.png"/><Relationship Id="rId10" Type="http://schemas.openxmlformats.org/officeDocument/2006/relationships/endnotes" Target="endnotes.xml"/><Relationship Id="rId31" Type="http://schemas.openxmlformats.org/officeDocument/2006/relationships/hyperlink" Target="http://www.ruckusandcosnacks.com" TargetMode="External"/><Relationship Id="rId44" Type="http://schemas.openxmlformats.org/officeDocument/2006/relationships/hyperlink" Target="https://www.oreo.com/" TargetMode="External"/><Relationship Id="rId52" Type="http://schemas.openxmlformats.org/officeDocument/2006/relationships/image" Target="media/image9.png"/><Relationship Id="rId60" Type="http://schemas.openxmlformats.org/officeDocument/2006/relationships/hyperlink" Target="https://www.goodthins.com/" TargetMode="External"/><Relationship Id="rId65" Type="http://schemas.openxmlformats.org/officeDocument/2006/relationships/hyperlink" Target="http://www.dentyne.com" TargetMode="External"/><Relationship Id="rId73" Type="http://schemas.openxmlformats.org/officeDocument/2006/relationships/hyperlink" Target="https://youtube.com/shorts/Vh2Qxyl3vP0" TargetMode="External"/><Relationship Id="rId78" Type="http://schemas.openxmlformats.org/officeDocument/2006/relationships/hyperlink" Target="https://youtube.com/shorts/6IVH8u_76J4" TargetMode="External"/><Relationship Id="rId81" Type="http://schemas.openxmlformats.org/officeDocument/2006/relationships/hyperlink" Target="http://www.snackworks.com" TargetMode="External"/><Relationship Id="rId86" Type="http://schemas.openxmlformats.org/officeDocument/2006/relationships/hyperlink" Target="https://youtube.com/shorts/rRh3NkGcofs" TargetMode="External"/><Relationship Id="rId94" Type="http://schemas.openxmlformats.org/officeDocument/2006/relationships/hyperlink" Target="http://www.sourpatchkids.com" TargetMode="Externa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capaofruit.com" TargetMode="External"/><Relationship Id="rId18" Type="http://schemas.openxmlformats.org/officeDocument/2006/relationships/hyperlink" Target="http://www.enjoylifefoods.com" TargetMode="External"/><Relationship Id="rId39" Type="http://schemas.openxmlformats.org/officeDocument/2006/relationships/hyperlink" Target="http://www.wheatthins.com" TargetMode="External"/><Relationship Id="rId34" Type="http://schemas.openxmlformats.org/officeDocument/2006/relationships/hyperlink" Target="http://www.tatesbakeshop.com" TargetMode="External"/><Relationship Id="rId50" Type="http://schemas.openxmlformats.org/officeDocument/2006/relationships/hyperlink" Target="https://www.tridentgum.com/" TargetMode="External"/><Relationship Id="rId55" Type="http://schemas.openxmlformats.org/officeDocument/2006/relationships/hyperlink" Target="https://www.ritzcrackers.com/" TargetMode="External"/><Relationship Id="rId76" Type="http://schemas.openxmlformats.org/officeDocument/2006/relationships/hyperlink" Target="http://www.hukitchen.com" TargetMode="External"/><Relationship Id="rId97" Type="http://schemas.openxmlformats.org/officeDocument/2006/relationships/hyperlink" Target="http://www.peapod.com" TargetMode="External"/><Relationship Id="rId7" Type="http://schemas.openxmlformats.org/officeDocument/2006/relationships/settings" Target="settings.xml"/><Relationship Id="rId71" Type="http://schemas.openxmlformats.org/officeDocument/2006/relationships/hyperlink" Target="http://www.enjoylifefoods.com" TargetMode="External"/><Relationship Id="rId92" Type="http://schemas.openxmlformats.org/officeDocument/2006/relationships/hyperlink" Target="http://www.mdlzcusthelp.com" TargetMode="External"/><Relationship Id="rId2" Type="http://schemas.openxmlformats.org/officeDocument/2006/relationships/customXml" Target="../customXml/item2.xml"/><Relationship Id="rId29" Type="http://schemas.openxmlformats.org/officeDocument/2006/relationships/hyperlink" Target="http://www.perfectsnacks.com" TargetMode="External"/><Relationship Id="rId24" Type="http://schemas.openxmlformats.org/officeDocument/2006/relationships/hyperlink" Target="http://www.masonstbakehouse.com" TargetMode="External"/><Relationship Id="rId40" Type="http://schemas.openxmlformats.org/officeDocument/2006/relationships/image" Target="media/image1.png"/><Relationship Id="rId45" Type="http://schemas.openxmlformats.org/officeDocument/2006/relationships/image" Target="media/image5.png"/><Relationship Id="rId66" Type="http://schemas.openxmlformats.org/officeDocument/2006/relationships/hyperlink" Target="http://www.tridentgum.com" TargetMode="External"/><Relationship Id="rId87" Type="http://schemas.openxmlformats.org/officeDocument/2006/relationships/hyperlink" Target="http://www.oreo.com" TargetMode="External"/><Relationship Id="rId61" Type="http://schemas.openxmlformats.org/officeDocument/2006/relationships/image" Target="media/image13.png"/><Relationship Id="rId82" Type="http://schemas.openxmlformats.org/officeDocument/2006/relationships/hyperlink" Target="https://youtube.com/shorts/i60FTl3unnw" TargetMode="External"/><Relationship Id="rId19" Type="http://schemas.openxmlformats.org/officeDocument/2006/relationships/hyperlink" Target="http://www.gethalls.com" TargetMode="External"/><Relationship Id="rId14" Type="http://schemas.openxmlformats.org/officeDocument/2006/relationships/hyperlink" Target="http://www.createatreat.com" TargetMode="External"/><Relationship Id="rId30" Type="http://schemas.openxmlformats.org/officeDocument/2006/relationships/hyperlink" Target="http://www.ritzcrackers.com" TargetMode="External"/><Relationship Id="rId35" Type="http://schemas.openxmlformats.org/officeDocument/2006/relationships/hyperlink" Target="http://www.theworthycrumb.com" TargetMode="External"/><Relationship Id="rId56" Type="http://schemas.openxmlformats.org/officeDocument/2006/relationships/hyperlink" Target="https://www.gethalls.com/" TargetMode="External"/><Relationship Id="rId77" Type="http://schemas.openxmlformats.org/officeDocument/2006/relationships/hyperlink" Target="https://youtube.com/shorts/Q2KuR_cBc84" TargetMode="External"/><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8.png"/><Relationship Id="rId72" Type="http://schemas.openxmlformats.org/officeDocument/2006/relationships/hyperlink" Target="http://www.sourpatchkids.com" TargetMode="External"/><Relationship Id="rId93" Type="http://schemas.openxmlformats.org/officeDocument/2006/relationships/image" Target="media/image16.png"/><Relationship Id="rId98" Type="http://schemas.openxmlformats.org/officeDocument/2006/relationships/footer" Target="footer1.xml"/></Relationships>
</file>

<file path=word/_rels/footnotes.xml.rels><?xml version="1.0" encoding="UTF-8" standalone="yes"?>
<Relationships xmlns="http://schemas.openxmlformats.org/package/2006/relationships"><Relationship Id="rId13" Type="http://schemas.openxmlformats.org/officeDocument/2006/relationships/hyperlink" Target="https://www.post-gazette.com/local/south/2009/07/23/Pitt-student-aims-to-rise-above-stereotype/stories/200907230364" TargetMode="External"/><Relationship Id="rId18" Type="http://schemas.openxmlformats.org/officeDocument/2006/relationships/hyperlink" Target="https://www.afb.org/aw/5/2/14760" TargetMode="External"/><Relationship Id="rId26" Type="http://schemas.openxmlformats.org/officeDocument/2006/relationships/hyperlink" Target="https://www.justice.gov/crt/foia/file/666366/download" TargetMode="External"/><Relationship Id="rId3" Type="http://schemas.openxmlformats.org/officeDocument/2006/relationships/hyperlink" Target="https://www.uschamber.com/co/start/startup/how-to-build-online-stores" TargetMode="External"/><Relationship Id="rId21" Type="http://schemas.openxmlformats.org/officeDocument/2006/relationships/hyperlink" Target="https://www.pa.gov/accessibility-policy/" TargetMode="External"/><Relationship Id="rId34" Type="http://schemas.openxmlformats.org/officeDocument/2006/relationships/hyperlink" Target="https://rbgg.com/wp-content/uploads/NFB-v-Uber-Amended-Order-Granting-In-Part-Pltfs-Motion-for-Attys-Fees-and-Costs-11-08-19.pdf" TargetMode="External"/><Relationship Id="rId7" Type="http://schemas.openxmlformats.org/officeDocument/2006/relationships/hyperlink" Target="https://www.inc.com/magazine/201312/kasey-wehrum/how-to-get-online-customers-to-complete-purchase.html" TargetMode="External"/><Relationship Id="rId12" Type="http://schemas.openxmlformats.org/officeDocument/2006/relationships/hyperlink" Target="https://archive.triblive.com/news/blindness-doesnt-keep-teen-from-success/" TargetMode="External"/><Relationship Id="rId17" Type="http://schemas.openxmlformats.org/officeDocument/2006/relationships/hyperlink" Target="https://www.uclalawreview.org/the-perversity-of-limited-civil-rights-remedies-the-case-of-abusive-ada-litigation/" TargetMode="External"/><Relationship Id="rId25" Type="http://schemas.openxmlformats.org/officeDocument/2006/relationships/hyperlink" Target="https://www.customink.com/" TargetMode="External"/><Relationship Id="rId33" Type="http://schemas.openxmlformats.org/officeDocument/2006/relationships/hyperlink" Target="https://www2.ed.gov/documents/press-releases/youngstown-state-university-agreement.pdf" TargetMode="External"/><Relationship Id="rId2" Type="http://schemas.openxmlformats.org/officeDocument/2006/relationships/hyperlink" Target="https://www.w3.org/WAI/business-case/" TargetMode="External"/><Relationship Id="rId16" Type="http://schemas.openxmlformats.org/officeDocument/2006/relationships/hyperlink" Target="https://ir.lawnet.fordham.edu/flr/vol71/iss1/4" TargetMode="External"/><Relationship Id="rId20" Type="http://schemas.openxmlformats.org/officeDocument/2006/relationships/hyperlink" Target="https://www.oa.pa.gov/Policies/Documents/itp_acc001.pdf" TargetMode="External"/><Relationship Id="rId29" Type="http://schemas.openxmlformats.org/officeDocument/2006/relationships/hyperlink" Target="https://www.justice.gov/file/163956/download" TargetMode="External"/><Relationship Id="rId1" Type="http://schemas.openxmlformats.org/officeDocument/2006/relationships/hyperlink" Target="http://www.disabilitystatistics.org" TargetMode="External"/><Relationship Id="rId6" Type="http://schemas.openxmlformats.org/officeDocument/2006/relationships/hyperlink" Target="https://ncd.gov/sites/default/files/NCD_ProgressReport_ES_508.pdf" TargetMode="External"/><Relationship Id="rId11" Type="http://schemas.openxmlformats.org/officeDocument/2006/relationships/hyperlink" Target="https://www.linkedin.com/in/blair-douglass-a0700871" TargetMode="External"/><Relationship Id="rId24" Type="http://schemas.openxmlformats.org/officeDocument/2006/relationships/hyperlink" Target="https://support.google.com/accessibility/android/answer/6283677?hl=en" TargetMode="External"/><Relationship Id="rId32" Type="http://schemas.openxmlformats.org/officeDocument/2006/relationships/hyperlink" Target="https://accessibility.psu.edu/nfbpsusettlement/" TargetMode="External"/><Relationship Id="rId5" Type="http://schemas.openxmlformats.org/officeDocument/2006/relationships/hyperlink" Target="https://www.uschamber.com/co/run/technology/small-business-ecommerce-guide" TargetMode="External"/><Relationship Id="rId15" Type="http://schemas.openxmlformats.org/officeDocument/2006/relationships/hyperlink" Target="https://scholarlycommons.law.cwsl.edu/cgi/viewcontent.cgi?article=1166&amp;context=cwlr" TargetMode="External"/><Relationship Id="rId23" Type="http://schemas.openxmlformats.org/officeDocument/2006/relationships/hyperlink" Target="https://www.apple.com/accessibility/vision/" TargetMode="External"/><Relationship Id="rId28" Type="http://schemas.openxmlformats.org/officeDocument/2006/relationships/hyperlink" Target="https://www.justice.gov/sites/default/files/crt/legacy/2010/12/14/rendon.pdf" TargetMode="External"/><Relationship Id="rId10" Type="http://schemas.openxmlformats.org/officeDocument/2006/relationships/hyperlink" Target="https://www.census.gov/quickfacts/fact/table/US/PST045221" TargetMode="External"/><Relationship Id="rId19" Type="http://schemas.openxmlformats.org/officeDocument/2006/relationships/hyperlink" Target="https://www.usability.gov/what-and-why/accessibility.html" TargetMode="External"/><Relationship Id="rId31" Type="http://schemas.openxmlformats.org/officeDocument/2006/relationships/hyperlink" Target="https://beta.ada.gov/web-guidance/" TargetMode="External"/><Relationship Id="rId4" Type="http://schemas.openxmlformats.org/officeDocument/2006/relationships/hyperlink" Target="https://www.uschamber.com/co/run/technology/building-mobile-friendly-ecommerce-websites" TargetMode="External"/><Relationship Id="rId9" Type="http://schemas.openxmlformats.org/officeDocument/2006/relationships/hyperlink" Target="https://www.census.gov/quickfacts/fact/table/PA" TargetMode="External"/><Relationship Id="rId14" Type="http://schemas.openxmlformats.org/officeDocument/2006/relationships/hyperlink" Target="http://scholarlycommons.law.case.edu/caselrev/vol59/iss3/6" TargetMode="External"/><Relationship Id="rId22" Type="http://schemas.openxmlformats.org/officeDocument/2006/relationships/hyperlink" Target="https://www.freedomscientific.com/products/software/jaws/" TargetMode="External"/><Relationship Id="rId27" Type="http://schemas.openxmlformats.org/officeDocument/2006/relationships/hyperlink" Target="https://www.justice.gov/sites/default/files/crt/legacy/2010/12/14/hooks.pdf" TargetMode="External"/><Relationship Id="rId30" Type="http://schemas.openxmlformats.org/officeDocument/2006/relationships/hyperlink" Target="https://www.adatitleiii.com/wp-content/uploads/sites/121/2018/10/DOJ-letter-to-congress.pdf" TargetMode="External"/><Relationship Id="rId8" Type="http://schemas.openxmlformats.org/officeDocument/2006/relationships/hyperlink" Target="https://www.crunchbase.com/organization/oreo/technolog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0C3EAA992959A458838B57431BE49FD" ma:contentTypeVersion="4" ma:contentTypeDescription="Create a new document." ma:contentTypeScope="" ma:versionID="75f711e2e6dfe69e43c55a8fe8d02c8f">
  <xsd:schema xmlns:xsd="http://www.w3.org/2001/XMLSchema" xmlns:xs="http://www.w3.org/2001/XMLSchema" xmlns:p="http://schemas.microsoft.com/office/2006/metadata/properties" xmlns:ns2="511e9bf4-7e6e-47a4-a117-f14638ded0dd" targetNamespace="http://schemas.microsoft.com/office/2006/metadata/properties" ma:root="true" ma:fieldsID="1002e14f1acf80e03b15a441f5ceb264" ns2:_="">
    <xsd:import namespace="511e9bf4-7e6e-47a4-a117-f14638ded0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1e9bf4-7e6e-47a4-a117-f14638ded0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D186E53-DF59-4590-81DD-52C5E34B6D4C}">
  <ds:schemaRefs>
    <ds:schemaRef ds:uri="http://schemas.microsoft.com/sharepoint/v3/contenttype/forms"/>
  </ds:schemaRefs>
</ds:datastoreItem>
</file>

<file path=customXml/itemProps2.xml><?xml version="1.0" encoding="utf-8"?>
<ds:datastoreItem xmlns:ds="http://schemas.openxmlformats.org/officeDocument/2006/customXml" ds:itemID="{E3CB8C46-807B-4D8D-B170-8270BAC192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1e9bf4-7e6e-47a4-a117-f14638ded0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1891CB-F6FB-4E65-B814-4FD30F1079FA}">
  <ds:schemaRefs>
    <ds:schemaRef ds:uri="http://schemas.openxmlformats.org/officeDocument/2006/bibliography"/>
  </ds:schemaRefs>
</ds:datastoreItem>
</file>

<file path=customXml/itemProps4.xml><?xml version="1.0" encoding="utf-8"?>
<ds:datastoreItem xmlns:ds="http://schemas.openxmlformats.org/officeDocument/2006/customXml" ds:itemID="{33EEC64B-6121-475D-B68A-4803066105F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38</Pages>
  <Words>8547</Words>
  <Characters>48718</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Tucker</dc:creator>
  <cp:keywords/>
  <dc:description/>
  <cp:lastModifiedBy>Kevin Tucker</cp:lastModifiedBy>
  <cp:revision>2</cp:revision>
  <cp:lastPrinted>2020-10-13T16:13:00Z</cp:lastPrinted>
  <dcterms:created xsi:type="dcterms:W3CDTF">2022-06-14T17:44:00Z</dcterms:created>
  <dcterms:modified xsi:type="dcterms:W3CDTF">2022-06-14T17:44:00Z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0x01010080C3EAA992959A458838B57431BE49FD</vt:lpwstr>
  </property>
</Properties>
</file>